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658E" w14:textId="77777777" w:rsidR="00D616D0" w:rsidRDefault="00785CDA">
      <w:pPr>
        <w:spacing w:after="120"/>
        <w:ind w:right="50"/>
        <w:jc w:val="right"/>
        <w:rPr>
          <w:b/>
          <w:color w:val="000000"/>
          <w:sz w:val="24"/>
          <w:szCs w:val="24"/>
          <w:lang w:val="es-ES_tradnl"/>
        </w:rPr>
      </w:pPr>
      <w:r>
        <w:rPr>
          <w:b/>
          <w:color w:val="000000"/>
          <w:sz w:val="24"/>
          <w:szCs w:val="24"/>
          <w:lang w:val="es-ES_tradnl"/>
        </w:rPr>
        <w:t>Memoria científica original</w:t>
      </w:r>
    </w:p>
    <w:p w14:paraId="4823C131" w14:textId="77777777" w:rsidR="00D616D0" w:rsidRDefault="00785CDA">
      <w:pPr>
        <w:spacing w:after="120"/>
        <w:ind w:right="50"/>
        <w:jc w:val="center"/>
        <w:rPr>
          <w:rFonts w:ascii="Cambria" w:hAnsi="Cambria"/>
          <w:b/>
          <w:color w:val="000000"/>
          <w:sz w:val="28"/>
          <w:szCs w:val="28"/>
          <w:lang w:val="es-ES_tradnl"/>
        </w:rPr>
      </w:pPr>
      <w:r>
        <w:rPr>
          <w:rFonts w:ascii="Cambria" w:eastAsia="Gill Sans MT" w:hAnsi="Cambria" w:cs="Gill Sans MT"/>
          <w:b/>
          <w:bCs/>
          <w:color w:val="231F20"/>
          <w:sz w:val="28"/>
          <w:szCs w:val="28"/>
          <w:lang w:val="es-ES_tradnl"/>
        </w:rPr>
        <w:t>La prevención de la drogadicción en las secundarias básicas: gestión desde el enfoque de riesgos</w:t>
      </w:r>
    </w:p>
    <w:p w14:paraId="1EB74F04" w14:textId="77777777" w:rsidR="00D616D0" w:rsidRDefault="00785CDA" w:rsidP="00321037">
      <w:pPr>
        <w:spacing w:after="240"/>
        <w:ind w:right="51"/>
        <w:jc w:val="center"/>
        <w:rPr>
          <w:rFonts w:ascii="Cambria" w:hAnsi="Cambria"/>
          <w:color w:val="000000"/>
          <w:sz w:val="28"/>
          <w:szCs w:val="28"/>
        </w:rPr>
      </w:pPr>
      <w:r>
        <w:rPr>
          <w:rFonts w:ascii="Cambria" w:eastAsia="Gill Sans MT" w:hAnsi="Cambria" w:cs="Gill Sans MT"/>
          <w:color w:val="231F20"/>
          <w:sz w:val="28"/>
          <w:szCs w:val="28"/>
        </w:rPr>
        <w:t>Drug addiction prevention in secondary schools: risk-based management</w:t>
      </w:r>
    </w:p>
    <w:p w14:paraId="795F1A9A" w14:textId="1C4062E4" w:rsidR="00D616D0" w:rsidRDefault="00785CDA">
      <w:pPr>
        <w:spacing w:after="0"/>
        <w:ind w:right="51"/>
        <w:rPr>
          <w:rStyle w:val="Hipervnculo"/>
          <w:rFonts w:cs="Calibri"/>
          <w:sz w:val="24"/>
          <w:szCs w:val="24"/>
        </w:rPr>
      </w:pPr>
      <w:r>
        <w:rPr>
          <w:color w:val="000000"/>
          <w:sz w:val="24"/>
          <w:szCs w:val="24"/>
        </w:rPr>
        <w:t>Daniel Pupo-Rivera</w:t>
      </w:r>
      <w:r>
        <w:rPr>
          <w:color w:val="000000"/>
          <w:sz w:val="24"/>
          <w:szCs w:val="24"/>
          <w:vertAlign w:val="superscript"/>
        </w:rPr>
        <w:t>1</w:t>
      </w:r>
      <w:r>
        <w:rPr>
          <w:sz w:val="24"/>
          <w:szCs w:val="24"/>
        </w:rPr>
        <w:t>*</w:t>
      </w:r>
      <w:r>
        <w:rPr>
          <w:color w:val="000000"/>
          <w:sz w:val="24"/>
          <w:szCs w:val="24"/>
        </w:rPr>
        <w:t>,</w:t>
      </w:r>
      <w:r>
        <w:rPr>
          <w:noProof/>
          <w:sz w:val="24"/>
          <w:szCs w:val="24"/>
        </w:rPr>
        <w:t xml:space="preserve"> </w:t>
      </w:r>
      <w:r>
        <w:rPr>
          <w:rFonts w:eastAsia="Arial" w:cs="Calibri"/>
          <w:bCs/>
          <w:sz w:val="24"/>
          <w:szCs w:val="24"/>
        </w:rPr>
        <w:t xml:space="preserve"> </w:t>
      </w:r>
      <w:hyperlink r:id="rId8" w:history="1">
        <w:r>
          <w:rPr>
            <w:rStyle w:val="Hipervnculo"/>
            <w:rFonts w:cs="Calibri"/>
            <w:sz w:val="24"/>
            <w:szCs w:val="24"/>
            <w:lang w:val="pt-BR"/>
          </w:rPr>
          <w:t>https://</w:t>
        </w:r>
        <w:r>
          <w:rPr>
            <w:rStyle w:val="Hipervnculo"/>
            <w:rFonts w:cs="Calibri"/>
            <w:sz w:val="24"/>
            <w:szCs w:val="24"/>
          </w:rPr>
          <w:t>orcid.org/000-0002-1354-2998</w:t>
        </w:r>
      </w:hyperlink>
    </w:p>
    <w:p w14:paraId="508C7118" w14:textId="6D1E8484" w:rsidR="00D616D0" w:rsidRDefault="00785CDA">
      <w:pPr>
        <w:spacing w:after="0"/>
        <w:ind w:right="51"/>
        <w:rPr>
          <w:rFonts w:cs="Calibri"/>
          <w:color w:val="0563C1"/>
          <w:sz w:val="24"/>
          <w:szCs w:val="24"/>
          <w:u w:val="single"/>
          <w:lang w:val="pt-BR"/>
        </w:rPr>
      </w:pPr>
      <w:r>
        <w:rPr>
          <w:rFonts w:eastAsia="Arial" w:cs="Calibri"/>
          <w:bCs/>
          <w:sz w:val="24"/>
          <w:szCs w:val="24"/>
          <w:lang w:val="es-ES_tradnl"/>
        </w:rPr>
        <w:t>Pedro Valiente Sandó</w:t>
      </w:r>
      <w:r>
        <w:rPr>
          <w:rFonts w:eastAsia="Arial" w:cs="Calibri"/>
          <w:bCs/>
          <w:sz w:val="24"/>
          <w:szCs w:val="24"/>
          <w:vertAlign w:val="superscript"/>
          <w:lang w:val="es-ES_tradnl"/>
        </w:rPr>
        <w:t>2</w:t>
      </w:r>
      <w:r>
        <w:rPr>
          <w:rFonts w:eastAsia="Arial" w:cs="Calibri"/>
          <w:bCs/>
          <w:sz w:val="24"/>
          <w:szCs w:val="24"/>
          <w:lang w:val="es-ES_tradnl"/>
        </w:rPr>
        <w:t>,</w:t>
      </w:r>
      <w:r>
        <w:rPr>
          <w:noProof/>
          <w:sz w:val="24"/>
          <w:szCs w:val="24"/>
          <w:lang w:val="es-ES_tradnl"/>
        </w:rPr>
        <w:t xml:space="preserve"> </w:t>
      </w:r>
      <w:r>
        <w:rPr>
          <w:rFonts w:eastAsia="Arial" w:cs="Calibri"/>
          <w:bCs/>
          <w:sz w:val="24"/>
          <w:szCs w:val="24"/>
          <w:lang w:val="es-ES_tradnl"/>
        </w:rPr>
        <w:t xml:space="preserve"> </w:t>
      </w:r>
      <w:hyperlink r:id="rId9" w:history="1">
        <w:r>
          <w:rPr>
            <w:rFonts w:cs="Calibri"/>
            <w:color w:val="0563C1"/>
            <w:sz w:val="24"/>
            <w:szCs w:val="24"/>
            <w:u w:val="single"/>
            <w:lang w:val="pt-BR"/>
          </w:rPr>
          <w:t>https://orcid.org/0000-0002-8954-3452</w:t>
        </w:r>
      </w:hyperlink>
    </w:p>
    <w:p w14:paraId="36DB75F8" w14:textId="46CEA4ED" w:rsidR="00D616D0" w:rsidRDefault="00785CDA">
      <w:pPr>
        <w:spacing w:after="120"/>
        <w:ind w:right="50"/>
        <w:rPr>
          <w:rFonts w:eastAsia="Arial" w:cs="Calibri"/>
          <w:bCs/>
          <w:sz w:val="24"/>
          <w:szCs w:val="24"/>
          <w:lang w:val="es-ES_tradnl"/>
        </w:rPr>
      </w:pPr>
      <w:proofErr w:type="spellStart"/>
      <w:r>
        <w:rPr>
          <w:rFonts w:eastAsia="Arial" w:cs="Calibri"/>
          <w:bCs/>
          <w:sz w:val="24"/>
          <w:szCs w:val="24"/>
          <w:lang w:val="es-ES_tradnl"/>
        </w:rPr>
        <w:t>Araiz</w:t>
      </w:r>
      <w:proofErr w:type="spellEnd"/>
      <w:r>
        <w:rPr>
          <w:rFonts w:eastAsia="Arial" w:cs="Calibri"/>
          <w:bCs/>
          <w:sz w:val="24"/>
          <w:szCs w:val="24"/>
          <w:lang w:val="es-ES_tradnl"/>
        </w:rPr>
        <w:t xml:space="preserve"> </w:t>
      </w:r>
      <w:proofErr w:type="spellStart"/>
      <w:r>
        <w:rPr>
          <w:rFonts w:eastAsia="Arial" w:cs="Calibri"/>
          <w:bCs/>
          <w:sz w:val="24"/>
          <w:szCs w:val="24"/>
          <w:lang w:val="es-ES_tradnl"/>
        </w:rPr>
        <w:t>Maturell</w:t>
      </w:r>
      <w:proofErr w:type="spellEnd"/>
      <w:r>
        <w:rPr>
          <w:rFonts w:eastAsia="Arial" w:cs="Calibri"/>
          <w:bCs/>
          <w:sz w:val="24"/>
          <w:szCs w:val="24"/>
          <w:lang w:val="es-ES_tradnl"/>
        </w:rPr>
        <w:t xml:space="preserve"> Aguilera</w:t>
      </w:r>
      <w:r>
        <w:rPr>
          <w:rFonts w:eastAsia="Arial" w:cs="Calibri"/>
          <w:bCs/>
          <w:sz w:val="24"/>
          <w:szCs w:val="24"/>
          <w:vertAlign w:val="superscript"/>
          <w:lang w:val="es-ES_tradnl"/>
        </w:rPr>
        <w:t>3</w:t>
      </w:r>
      <w:r>
        <w:rPr>
          <w:rFonts w:eastAsia="Arial" w:cs="Calibri"/>
          <w:bCs/>
          <w:sz w:val="24"/>
          <w:szCs w:val="24"/>
          <w:lang w:val="es-ES_tradnl"/>
        </w:rPr>
        <w:t>,</w:t>
      </w:r>
      <w:r>
        <w:rPr>
          <w:noProof/>
          <w:sz w:val="24"/>
          <w:szCs w:val="24"/>
          <w:lang w:val="es-ES_tradnl"/>
        </w:rPr>
        <w:t xml:space="preserve"> </w:t>
      </w:r>
      <w:r>
        <w:rPr>
          <w:rFonts w:eastAsia="Arial" w:cs="Calibri"/>
          <w:bCs/>
          <w:sz w:val="24"/>
          <w:szCs w:val="24"/>
          <w:lang w:val="es-ES_tradnl"/>
        </w:rPr>
        <w:t xml:space="preserve"> </w:t>
      </w:r>
      <w:hyperlink r:id="rId10" w:history="1">
        <w:r>
          <w:rPr>
            <w:rStyle w:val="Hipervnculo"/>
            <w:rFonts w:cs="Calibri"/>
            <w:sz w:val="24"/>
            <w:szCs w:val="24"/>
            <w:lang w:val="pt-BR"/>
          </w:rPr>
          <w:t>https://</w:t>
        </w:r>
        <w:r>
          <w:rPr>
            <w:rStyle w:val="Hipervnculo"/>
            <w:rFonts w:cs="Calibri"/>
            <w:sz w:val="24"/>
            <w:szCs w:val="24"/>
            <w:lang w:val="es-ES_tradnl"/>
          </w:rPr>
          <w:t>orcid.org/000-0002-7766-0715</w:t>
        </w:r>
      </w:hyperlink>
    </w:p>
    <w:p w14:paraId="1C49732D" w14:textId="77777777" w:rsidR="00D616D0" w:rsidRDefault="00785CDA">
      <w:pPr>
        <w:spacing w:after="0"/>
        <w:ind w:right="74"/>
        <w:rPr>
          <w:rFonts w:eastAsia="Arial" w:cs="Calibri"/>
          <w:bCs/>
          <w:sz w:val="24"/>
          <w:szCs w:val="24"/>
          <w:lang w:val="es-ES"/>
        </w:rPr>
      </w:pPr>
      <w:r>
        <w:rPr>
          <w:rFonts w:eastAsia="Arial" w:cs="Calibri"/>
          <w:bCs/>
          <w:sz w:val="24"/>
          <w:szCs w:val="24"/>
          <w:vertAlign w:val="superscript"/>
          <w:lang w:val="es-ES"/>
        </w:rPr>
        <w:t>1</w:t>
      </w:r>
      <w:r>
        <w:rPr>
          <w:rFonts w:eastAsia="Arial" w:cs="Calibri"/>
          <w:bCs/>
          <w:sz w:val="24"/>
          <w:szCs w:val="24"/>
          <w:lang w:val="es-ES"/>
        </w:rPr>
        <w:t>ESBU Camilo Cienfuegos Gorriarán, Holguín, Holguín, Cuba</w:t>
      </w:r>
    </w:p>
    <w:p w14:paraId="48D45525" w14:textId="77777777" w:rsidR="00D616D0" w:rsidRDefault="00785CDA">
      <w:pPr>
        <w:spacing w:after="0"/>
        <w:ind w:right="74"/>
        <w:rPr>
          <w:rFonts w:eastAsia="Arial" w:cs="Calibri"/>
          <w:bCs/>
          <w:sz w:val="24"/>
          <w:szCs w:val="24"/>
          <w:lang w:val="es-ES"/>
        </w:rPr>
      </w:pPr>
      <w:r>
        <w:rPr>
          <w:rFonts w:eastAsia="Arial" w:cs="Calibri"/>
          <w:bCs/>
          <w:sz w:val="24"/>
          <w:szCs w:val="24"/>
          <w:vertAlign w:val="superscript"/>
          <w:lang w:val="es-ES"/>
        </w:rPr>
        <w:t>2</w:t>
      </w:r>
      <w:r>
        <w:rPr>
          <w:rFonts w:eastAsia="Arial" w:cs="Calibri"/>
          <w:bCs/>
          <w:sz w:val="24"/>
          <w:szCs w:val="24"/>
          <w:lang w:val="es-ES"/>
        </w:rPr>
        <w:t>Universidad de Holguín, Holguín, Cuba</w:t>
      </w:r>
    </w:p>
    <w:p w14:paraId="14D35771" w14:textId="77777777" w:rsidR="00D616D0" w:rsidRDefault="00785CDA">
      <w:pPr>
        <w:spacing w:after="0"/>
        <w:ind w:right="74"/>
        <w:rPr>
          <w:rFonts w:eastAsia="Arial" w:cs="Calibri"/>
          <w:bCs/>
          <w:sz w:val="24"/>
          <w:szCs w:val="24"/>
          <w:lang w:val="es-ES"/>
        </w:rPr>
      </w:pPr>
      <w:r>
        <w:rPr>
          <w:rFonts w:eastAsia="Arial" w:cs="Calibri"/>
          <w:bCs/>
          <w:sz w:val="24"/>
          <w:szCs w:val="24"/>
          <w:vertAlign w:val="superscript"/>
          <w:lang w:val="es-ES"/>
        </w:rPr>
        <w:t>3</w:t>
      </w:r>
      <w:r>
        <w:rPr>
          <w:rFonts w:eastAsia="Arial" w:cs="Calibri"/>
          <w:bCs/>
          <w:sz w:val="24"/>
          <w:szCs w:val="24"/>
          <w:lang w:val="es-ES"/>
        </w:rPr>
        <w:t>Dirección General de Educación, Calixto García, Holguín, Cuba</w:t>
      </w:r>
    </w:p>
    <w:p w14:paraId="0ACE4C37" w14:textId="77777777" w:rsidR="00D616D0" w:rsidRDefault="00785CDA" w:rsidP="00321037">
      <w:pPr>
        <w:widowControl/>
        <w:spacing w:after="240"/>
        <w:ind w:right="74"/>
        <w:rPr>
          <w:sz w:val="24"/>
          <w:szCs w:val="24"/>
          <w:lang w:val="es-ES_tradnl"/>
        </w:rPr>
      </w:pPr>
      <w:r>
        <w:rPr>
          <w:sz w:val="24"/>
          <w:szCs w:val="24"/>
          <w:lang w:val="es-ES_tradnl"/>
        </w:rPr>
        <w:t xml:space="preserve">* Autor para la correspondencia: </w:t>
      </w:r>
      <w:r>
        <w:rPr>
          <w:rFonts w:eastAsia="Arial" w:cs="Calibri"/>
          <w:bCs/>
          <w:sz w:val="24"/>
          <w:szCs w:val="24"/>
          <w:lang w:val="es-ES_tradnl"/>
        </w:rPr>
        <w:t xml:space="preserve">Pedro Valiente </w:t>
      </w:r>
      <w:proofErr w:type="spellStart"/>
      <w:r>
        <w:rPr>
          <w:rFonts w:eastAsia="Arial" w:cs="Calibri"/>
          <w:bCs/>
          <w:sz w:val="24"/>
          <w:szCs w:val="24"/>
          <w:lang w:val="es-ES_tradnl"/>
        </w:rPr>
        <w:t>Sandó</w:t>
      </w:r>
      <w:proofErr w:type="spellEnd"/>
      <w:r>
        <w:rPr>
          <w:rFonts w:eastAsia="Arial" w:cs="Calibri"/>
          <w:bCs/>
          <w:sz w:val="24"/>
          <w:szCs w:val="24"/>
          <w:lang w:val="es-ES_tradnl"/>
        </w:rPr>
        <w:t xml:space="preserve">, </w:t>
      </w:r>
      <w:hyperlink r:id="rId11" w:history="1">
        <w:r>
          <w:rPr>
            <w:rStyle w:val="Hipervnculo"/>
            <w:rFonts w:eastAsia="Arial" w:cs="Calibri"/>
            <w:bCs/>
            <w:sz w:val="24"/>
            <w:szCs w:val="24"/>
            <w:lang w:val="es-ES_tradnl"/>
          </w:rPr>
          <w:t>pedrovalientesando@gmail.com</w:t>
        </w:r>
      </w:hyperlink>
      <w:r>
        <w:rPr>
          <w:rFonts w:eastAsia="Arial" w:cs="Calibri"/>
          <w:bCs/>
          <w:sz w:val="24"/>
          <w:szCs w:val="24"/>
          <w:lang w:val="es-ES_tradnl"/>
        </w:rPr>
        <w:t xml:space="preserve"> </w:t>
      </w:r>
    </w:p>
    <w:p w14:paraId="274E9C5E" w14:textId="77777777" w:rsidR="00D616D0" w:rsidRDefault="00785CDA">
      <w:pPr>
        <w:spacing w:after="120"/>
        <w:ind w:right="50"/>
        <w:jc w:val="center"/>
        <w:rPr>
          <w:rFonts w:cs="Calibri"/>
          <w:sz w:val="24"/>
          <w:szCs w:val="24"/>
          <w:lang w:val="es-ES_tradnl"/>
        </w:rPr>
      </w:pPr>
      <w:r>
        <w:rPr>
          <w:rFonts w:eastAsia="Arial" w:cs="Calibri"/>
          <w:b/>
          <w:bCs/>
          <w:sz w:val="24"/>
          <w:szCs w:val="24"/>
          <w:lang w:val="es-ES_tradnl"/>
        </w:rPr>
        <w:t>Re</w:t>
      </w:r>
      <w:r>
        <w:rPr>
          <w:rFonts w:eastAsia="Arial" w:cs="Calibri"/>
          <w:b/>
          <w:bCs/>
          <w:spacing w:val="1"/>
          <w:sz w:val="24"/>
          <w:szCs w:val="24"/>
          <w:lang w:val="es-ES_tradnl"/>
        </w:rPr>
        <w:t>s</w:t>
      </w:r>
      <w:r>
        <w:rPr>
          <w:rFonts w:eastAsia="Arial" w:cs="Calibri"/>
          <w:b/>
          <w:bCs/>
          <w:sz w:val="24"/>
          <w:szCs w:val="24"/>
          <w:lang w:val="es-ES_tradnl"/>
        </w:rPr>
        <w:t>ume</w:t>
      </w:r>
      <w:r>
        <w:rPr>
          <w:rFonts w:eastAsia="Arial" w:cs="Calibri"/>
          <w:b/>
          <w:bCs/>
          <w:spacing w:val="1"/>
          <w:sz w:val="24"/>
          <w:szCs w:val="24"/>
          <w:lang w:val="es-ES_tradnl"/>
        </w:rPr>
        <w:t>n</w:t>
      </w:r>
    </w:p>
    <w:p w14:paraId="0DD19971" w14:textId="77777777" w:rsidR="00D616D0" w:rsidRDefault="00785CDA">
      <w:pPr>
        <w:spacing w:after="0"/>
        <w:ind w:right="50"/>
        <w:jc w:val="both"/>
        <w:rPr>
          <w:rFonts w:eastAsia="Arial" w:cs="Calibri"/>
          <w:sz w:val="24"/>
          <w:szCs w:val="24"/>
          <w:lang w:val="es-ES_tradnl"/>
        </w:rPr>
      </w:pPr>
      <w:r>
        <w:rPr>
          <w:rFonts w:eastAsia="Arial" w:cs="Calibri"/>
          <w:b/>
          <w:sz w:val="24"/>
          <w:szCs w:val="24"/>
          <w:lang w:val="es-ES_tradnl"/>
        </w:rPr>
        <w:t>Introducción:</w:t>
      </w:r>
      <w:r>
        <w:rPr>
          <w:rFonts w:eastAsia="Arial" w:cs="Calibri"/>
          <w:sz w:val="24"/>
          <w:szCs w:val="24"/>
          <w:lang w:val="es-ES_tradnl"/>
        </w:rPr>
        <w:t xml:space="preserve"> En el contexto cubano actual el consumo de drogas, del que no escapa la adolescencia como grupo etario, constituye un problema social que demanda de la más alta prioridad. En consecuencia, como parte de la labor educativa en las secundarias básicas, debe prestarse una atención preferente a la labor preventiva institucional en relación con este flagelo.</w:t>
      </w:r>
    </w:p>
    <w:p w14:paraId="3CF84EFB" w14:textId="77777777" w:rsidR="00D616D0" w:rsidRDefault="00785CDA">
      <w:pPr>
        <w:spacing w:after="0"/>
        <w:ind w:right="50"/>
        <w:jc w:val="both"/>
        <w:rPr>
          <w:rFonts w:eastAsia="Arial" w:cs="Calibri"/>
          <w:sz w:val="24"/>
          <w:szCs w:val="24"/>
          <w:lang w:val="es-ES_tradnl"/>
        </w:rPr>
      </w:pPr>
      <w:r>
        <w:rPr>
          <w:rFonts w:eastAsia="Arial" w:cs="Calibri"/>
          <w:b/>
          <w:sz w:val="24"/>
          <w:szCs w:val="24"/>
          <w:lang w:val="es-ES_tradnl"/>
        </w:rPr>
        <w:t>Objetivo:</w:t>
      </w:r>
      <w:r>
        <w:rPr>
          <w:rFonts w:eastAsia="Arial" w:cs="Calibri"/>
          <w:sz w:val="24"/>
          <w:szCs w:val="24"/>
          <w:lang w:val="es-ES_tradnl"/>
        </w:rPr>
        <w:t xml:space="preserve"> </w:t>
      </w:r>
      <w:r>
        <w:rPr>
          <w:rFonts w:eastAsia="Arial" w:cs="Calibri"/>
          <w:spacing w:val="1"/>
          <w:sz w:val="24"/>
          <w:szCs w:val="24"/>
          <w:lang w:val="es-ES_tradnl"/>
        </w:rPr>
        <w:t>Elaborar un procedimiento para la gestión institucional de la labor preventiva en relación con el consumo de drogas en las secundarias básicas, modelado desde el enfoque de riesgos</w:t>
      </w:r>
      <w:r>
        <w:rPr>
          <w:rFonts w:eastAsia="Arial" w:cs="Calibri"/>
          <w:sz w:val="24"/>
          <w:szCs w:val="24"/>
          <w:lang w:val="es-ES_tradnl"/>
        </w:rPr>
        <w:t>.</w:t>
      </w:r>
    </w:p>
    <w:p w14:paraId="1CFABF3D" w14:textId="77777777" w:rsidR="00D616D0" w:rsidRDefault="00785CDA">
      <w:pPr>
        <w:spacing w:after="0"/>
        <w:ind w:right="50"/>
        <w:jc w:val="both"/>
        <w:rPr>
          <w:rFonts w:eastAsia="Arial" w:cs="Calibri"/>
          <w:spacing w:val="1"/>
          <w:sz w:val="24"/>
          <w:szCs w:val="24"/>
          <w:lang w:val="es-ES_tradnl"/>
        </w:rPr>
      </w:pPr>
      <w:r>
        <w:rPr>
          <w:rFonts w:eastAsia="Arial" w:cs="Calibri"/>
          <w:b/>
          <w:sz w:val="24"/>
          <w:szCs w:val="24"/>
          <w:lang w:val="es-ES_tradnl"/>
        </w:rPr>
        <w:t>Métodos:</w:t>
      </w:r>
      <w:r>
        <w:rPr>
          <w:rFonts w:eastAsia="Arial" w:cs="Calibri"/>
          <w:sz w:val="24"/>
          <w:szCs w:val="24"/>
          <w:lang w:val="es-ES_tradnl"/>
        </w:rPr>
        <w:t xml:space="preserve"> Se empleó una variedad de métodos del nivel teórico de la investigación educativa (análisis-síntesis, inducción-deducción, modelación y enfoque de sistema) que posibilitaron establecer la lógica y los componentes estructurales (etapas, fases y acciones) del procedimiento, explicar las interacciones que se producen entre ellos, así como la conformación del marco teórico-metodológico de la investigación, la presentación de los resultados y discusión y la elaboración de las conclusiones.</w:t>
      </w:r>
    </w:p>
    <w:p w14:paraId="5A8748A5" w14:textId="77777777" w:rsidR="00D616D0" w:rsidRDefault="00785CDA">
      <w:pPr>
        <w:spacing w:after="0"/>
        <w:ind w:right="50"/>
        <w:jc w:val="both"/>
        <w:rPr>
          <w:rFonts w:eastAsia="Arial" w:cs="Calibri"/>
          <w:sz w:val="24"/>
          <w:szCs w:val="24"/>
          <w:lang w:val="es-ES_tradnl"/>
        </w:rPr>
      </w:pPr>
      <w:r>
        <w:rPr>
          <w:rFonts w:eastAsia="Arial" w:cs="Calibri"/>
          <w:b/>
          <w:spacing w:val="1"/>
          <w:sz w:val="24"/>
          <w:szCs w:val="24"/>
          <w:lang w:val="es-ES_tradnl"/>
        </w:rPr>
        <w:t>Resultado:</w:t>
      </w:r>
      <w:r>
        <w:rPr>
          <w:rFonts w:eastAsia="Arial" w:cs="Calibri"/>
          <w:spacing w:val="1"/>
          <w:sz w:val="24"/>
          <w:szCs w:val="24"/>
          <w:lang w:val="es-ES_tradnl"/>
        </w:rPr>
        <w:t xml:space="preserve"> Se elaboró un procedimiento que orienta la gestión institucional de la labor preventiva en relación con el consumo de drogas en las secundarias básicas, </w:t>
      </w:r>
      <w:bookmarkStart w:id="0" w:name="_Hlk201752385"/>
      <w:r>
        <w:rPr>
          <w:rFonts w:eastAsia="Arial" w:cs="Calibri"/>
          <w:spacing w:val="1"/>
          <w:sz w:val="24"/>
          <w:szCs w:val="24"/>
          <w:lang w:val="es-ES_tradnl"/>
        </w:rPr>
        <w:t>estructurado en tres etapas, basadas en la lógica de la gestión de riesgos, que se operacionalizaron en siete fases y 32 acciones</w:t>
      </w:r>
      <w:r>
        <w:rPr>
          <w:rFonts w:eastAsia="Arial" w:cs="Calibri"/>
          <w:sz w:val="24"/>
          <w:szCs w:val="24"/>
          <w:lang w:val="es-ES_tradnl"/>
        </w:rPr>
        <w:t>.</w:t>
      </w:r>
    </w:p>
    <w:bookmarkEnd w:id="0"/>
    <w:p w14:paraId="12FAD8B5" w14:textId="77777777" w:rsidR="00D616D0" w:rsidRDefault="00785CDA">
      <w:pPr>
        <w:spacing w:after="120"/>
        <w:ind w:right="50"/>
        <w:jc w:val="both"/>
        <w:rPr>
          <w:rFonts w:eastAsia="Arial" w:cs="Calibri"/>
          <w:spacing w:val="1"/>
          <w:sz w:val="24"/>
          <w:szCs w:val="24"/>
          <w:lang w:val="es-ES_tradnl"/>
        </w:rPr>
      </w:pPr>
      <w:r>
        <w:rPr>
          <w:rFonts w:eastAsia="Arial" w:cs="Calibri"/>
          <w:b/>
          <w:spacing w:val="1"/>
          <w:sz w:val="24"/>
          <w:szCs w:val="24"/>
          <w:lang w:val="es-ES_tradnl"/>
        </w:rPr>
        <w:t>Conclusión:</w:t>
      </w:r>
      <w:r>
        <w:rPr>
          <w:rFonts w:eastAsia="Arial" w:cs="Calibri"/>
          <w:spacing w:val="1"/>
          <w:sz w:val="24"/>
          <w:szCs w:val="24"/>
          <w:lang w:val="es-ES_tradnl"/>
        </w:rPr>
        <w:t xml:space="preserve"> El procedimiento elaborado constituye una respuesta plausible para desarrollar la labor preventiva en relación con el consumo de drogas en las secundarias básicas al constituir un recurso metodológico que facilita el desempeño del equipo directivo y propicia la participación de los diferentes actores de la comunidad educativa.  </w:t>
      </w:r>
    </w:p>
    <w:p w14:paraId="3C584769" w14:textId="77777777" w:rsidR="00D616D0" w:rsidRDefault="00785CDA">
      <w:pPr>
        <w:autoSpaceDE w:val="0"/>
        <w:autoSpaceDN w:val="0"/>
        <w:adjustRightInd w:val="0"/>
        <w:spacing w:after="240" w:line="240" w:lineRule="auto"/>
        <w:ind w:right="50"/>
        <w:jc w:val="both"/>
        <w:rPr>
          <w:rFonts w:eastAsia="Arial" w:cs="Calibri"/>
          <w:spacing w:val="1"/>
          <w:sz w:val="24"/>
          <w:szCs w:val="24"/>
          <w:lang w:val="es-ES_tradnl"/>
        </w:rPr>
      </w:pPr>
      <w:r>
        <w:rPr>
          <w:rFonts w:eastAsia="Arial" w:cs="Calibri"/>
          <w:b/>
          <w:sz w:val="24"/>
          <w:szCs w:val="24"/>
          <w:lang w:val="es-ES_tradnl"/>
        </w:rPr>
        <w:t>Pal</w:t>
      </w:r>
      <w:r>
        <w:rPr>
          <w:rFonts w:eastAsia="Arial" w:cs="Calibri"/>
          <w:b/>
          <w:spacing w:val="1"/>
          <w:sz w:val="24"/>
          <w:szCs w:val="24"/>
          <w:lang w:val="es-ES_tradnl"/>
        </w:rPr>
        <w:t>a</w:t>
      </w:r>
      <w:r>
        <w:rPr>
          <w:rFonts w:eastAsia="Arial" w:cs="Calibri"/>
          <w:b/>
          <w:sz w:val="24"/>
          <w:szCs w:val="24"/>
          <w:lang w:val="es-ES_tradnl"/>
        </w:rPr>
        <w:t>bras</w:t>
      </w:r>
      <w:r>
        <w:rPr>
          <w:rFonts w:eastAsia="Arial" w:cs="Calibri"/>
          <w:b/>
          <w:spacing w:val="1"/>
          <w:sz w:val="24"/>
          <w:szCs w:val="24"/>
          <w:lang w:val="es-ES_tradnl"/>
        </w:rPr>
        <w:t xml:space="preserve"> </w:t>
      </w:r>
      <w:r>
        <w:rPr>
          <w:rFonts w:eastAsia="Arial" w:cs="Calibri"/>
          <w:b/>
          <w:sz w:val="24"/>
          <w:szCs w:val="24"/>
          <w:lang w:val="es-ES_tradnl"/>
        </w:rPr>
        <w:t>clave</w:t>
      </w:r>
      <w:r>
        <w:rPr>
          <w:rFonts w:eastAsia="Arial" w:cs="Calibri"/>
          <w:sz w:val="24"/>
          <w:szCs w:val="24"/>
          <w:lang w:val="es-ES_tradnl"/>
        </w:rPr>
        <w:t>:</w:t>
      </w:r>
      <w:r>
        <w:rPr>
          <w:rFonts w:eastAsia="Arial" w:cs="Calibri"/>
          <w:spacing w:val="1"/>
          <w:sz w:val="24"/>
          <w:szCs w:val="24"/>
          <w:lang w:val="es-ES_tradnl"/>
        </w:rPr>
        <w:t xml:space="preserve"> adolescencia, educación </w:t>
      </w:r>
      <w:proofErr w:type="spellStart"/>
      <w:r>
        <w:rPr>
          <w:rFonts w:eastAsia="Arial" w:cs="Calibri"/>
          <w:spacing w:val="1"/>
          <w:sz w:val="24"/>
          <w:szCs w:val="24"/>
          <w:lang w:val="es-ES_tradnl"/>
        </w:rPr>
        <w:t>antidrogadicción</w:t>
      </w:r>
      <w:proofErr w:type="spellEnd"/>
      <w:r>
        <w:rPr>
          <w:rFonts w:eastAsia="Arial" w:cs="Calibri"/>
          <w:spacing w:val="1"/>
          <w:sz w:val="24"/>
          <w:szCs w:val="24"/>
          <w:lang w:val="es-ES_tradnl"/>
        </w:rPr>
        <w:t xml:space="preserve">, educación básica, educación preventiva, gestión de riesgos </w:t>
      </w:r>
    </w:p>
    <w:p w14:paraId="21B84EB4" w14:textId="77777777" w:rsidR="00D616D0" w:rsidRDefault="00785CDA">
      <w:pPr>
        <w:spacing w:after="120"/>
        <w:ind w:right="50"/>
        <w:jc w:val="center"/>
        <w:rPr>
          <w:rFonts w:cs="Calibri"/>
          <w:sz w:val="24"/>
          <w:szCs w:val="24"/>
          <w:lang w:val="en-GB"/>
        </w:rPr>
      </w:pPr>
      <w:r>
        <w:rPr>
          <w:rFonts w:eastAsia="Arial" w:cs="Calibri"/>
          <w:b/>
          <w:bCs/>
          <w:sz w:val="24"/>
          <w:szCs w:val="24"/>
          <w:lang w:val="en-GB"/>
        </w:rPr>
        <w:lastRenderedPageBreak/>
        <w:t>Abstract</w:t>
      </w:r>
    </w:p>
    <w:p w14:paraId="36B014C6" w14:textId="77777777" w:rsidR="00D616D0" w:rsidRDefault="00785CDA">
      <w:pPr>
        <w:spacing w:after="0"/>
        <w:ind w:right="50"/>
        <w:jc w:val="both"/>
        <w:rPr>
          <w:rFonts w:eastAsia="Arial" w:cs="Calibri"/>
          <w:spacing w:val="1"/>
          <w:sz w:val="24"/>
          <w:szCs w:val="24"/>
        </w:rPr>
      </w:pPr>
      <w:r>
        <w:rPr>
          <w:rFonts w:eastAsia="Arial" w:cs="Calibri"/>
          <w:b/>
          <w:sz w:val="24"/>
          <w:szCs w:val="24"/>
          <w:lang w:val="en-GB"/>
        </w:rPr>
        <w:t xml:space="preserve">Introduction: </w:t>
      </w:r>
      <w:r>
        <w:rPr>
          <w:rFonts w:eastAsia="Arial" w:cs="Calibri"/>
          <w:spacing w:val="1"/>
          <w:sz w:val="24"/>
          <w:szCs w:val="24"/>
        </w:rPr>
        <w:t xml:space="preserve">In the current Cuban context, drug consumption, which also affects adolescents as an age group, constitutes a social problem that requires the highest priority. Consequently, as part of the educational work in basic secondary schools, attention </w:t>
      </w:r>
      <w:r w:rsidR="00321037">
        <w:rPr>
          <w:rFonts w:eastAsia="Arial" w:cs="Calibri"/>
          <w:spacing w:val="1"/>
          <w:sz w:val="24"/>
          <w:szCs w:val="24"/>
        </w:rPr>
        <w:t>should</w:t>
      </w:r>
      <w:r>
        <w:rPr>
          <w:rFonts w:eastAsia="Arial" w:cs="Calibri"/>
          <w:spacing w:val="1"/>
          <w:sz w:val="24"/>
          <w:szCs w:val="24"/>
        </w:rPr>
        <w:t xml:space="preserve"> be given to institutional preventive work in relation to this scourge.</w:t>
      </w:r>
    </w:p>
    <w:p w14:paraId="1C19D16A" w14:textId="77777777" w:rsidR="00D616D0" w:rsidRDefault="00785CDA">
      <w:pPr>
        <w:spacing w:after="0"/>
        <w:ind w:right="50"/>
        <w:jc w:val="both"/>
        <w:rPr>
          <w:rFonts w:eastAsia="Arial" w:cs="Calibri"/>
          <w:spacing w:val="1"/>
          <w:sz w:val="24"/>
          <w:szCs w:val="24"/>
        </w:rPr>
      </w:pPr>
      <w:r>
        <w:rPr>
          <w:rFonts w:eastAsia="Arial" w:cs="Calibri"/>
          <w:b/>
          <w:sz w:val="24"/>
          <w:szCs w:val="24"/>
          <w:lang w:val="en-GB"/>
        </w:rPr>
        <w:t>Objective:</w:t>
      </w:r>
      <w:r>
        <w:t xml:space="preserve"> </w:t>
      </w:r>
      <w:r w:rsidR="00321037">
        <w:t>To d</w:t>
      </w:r>
      <w:r w:rsidR="00321037">
        <w:rPr>
          <w:rFonts w:eastAsia="Arial" w:cs="Calibri"/>
          <w:spacing w:val="1"/>
          <w:sz w:val="24"/>
          <w:szCs w:val="24"/>
        </w:rPr>
        <w:t>evise</w:t>
      </w:r>
      <w:r>
        <w:rPr>
          <w:rFonts w:eastAsia="Arial" w:cs="Calibri"/>
          <w:spacing w:val="1"/>
          <w:sz w:val="24"/>
          <w:szCs w:val="24"/>
        </w:rPr>
        <w:t xml:space="preserve"> a procedure for the institutional management of preventive work related to drug consumption in </w:t>
      </w:r>
      <w:r w:rsidR="00321037">
        <w:rPr>
          <w:rFonts w:eastAsia="Arial" w:cs="Calibri"/>
          <w:spacing w:val="1"/>
          <w:sz w:val="24"/>
          <w:szCs w:val="24"/>
        </w:rPr>
        <w:t>junior high</w:t>
      </w:r>
      <w:r>
        <w:rPr>
          <w:rFonts w:eastAsia="Arial" w:cs="Calibri"/>
          <w:spacing w:val="1"/>
          <w:sz w:val="24"/>
          <w:szCs w:val="24"/>
        </w:rPr>
        <w:t xml:space="preserve"> schools, modeled from a risk-based approach.</w:t>
      </w:r>
    </w:p>
    <w:p w14:paraId="25838F0D" w14:textId="77777777" w:rsidR="00D616D0" w:rsidRDefault="00785CDA">
      <w:pPr>
        <w:spacing w:after="0"/>
        <w:ind w:right="50"/>
        <w:jc w:val="both"/>
        <w:rPr>
          <w:rFonts w:eastAsia="Arial" w:cs="Calibri"/>
          <w:spacing w:val="1"/>
          <w:sz w:val="24"/>
          <w:szCs w:val="24"/>
        </w:rPr>
      </w:pPr>
      <w:r>
        <w:rPr>
          <w:rFonts w:eastAsia="Arial" w:cs="Calibri"/>
          <w:b/>
          <w:sz w:val="24"/>
          <w:szCs w:val="24"/>
          <w:lang w:val="en-GB"/>
        </w:rPr>
        <w:t>Methods:</w:t>
      </w:r>
      <w:r>
        <w:rPr>
          <w:rFonts w:eastAsia="Arial" w:cs="Calibri"/>
          <w:sz w:val="24"/>
          <w:szCs w:val="24"/>
          <w:lang w:val="en-GB"/>
        </w:rPr>
        <w:t xml:space="preserve"> </w:t>
      </w:r>
      <w:r>
        <w:rPr>
          <w:rFonts w:eastAsia="Arial" w:cs="Calibri"/>
          <w:spacing w:val="1"/>
          <w:sz w:val="24"/>
          <w:szCs w:val="24"/>
        </w:rPr>
        <w:t xml:space="preserve">A variety of theoretical methods of educational research were employed (analysis-synthesis, induction-deduction, modeling, and systems approach) that made it possible to establish the logic and structural components (stages, phases, and actions) of the procedure, explain the interactions that occur between them, as well as the </w:t>
      </w:r>
      <w:r w:rsidR="00321037">
        <w:rPr>
          <w:rFonts w:eastAsia="Arial" w:cs="Calibri"/>
          <w:spacing w:val="1"/>
          <w:sz w:val="24"/>
          <w:szCs w:val="24"/>
        </w:rPr>
        <w:t>construction</w:t>
      </w:r>
      <w:r>
        <w:rPr>
          <w:rFonts w:eastAsia="Arial" w:cs="Calibri"/>
          <w:spacing w:val="1"/>
          <w:sz w:val="24"/>
          <w:szCs w:val="24"/>
        </w:rPr>
        <w:t xml:space="preserve"> of the theoretical-methodological framework of the research, the presentation of the results and discussion, and </w:t>
      </w:r>
      <w:r w:rsidR="00321037">
        <w:rPr>
          <w:rFonts w:eastAsia="Arial" w:cs="Calibri"/>
          <w:spacing w:val="1"/>
          <w:sz w:val="24"/>
          <w:szCs w:val="24"/>
        </w:rPr>
        <w:t>arriving at</w:t>
      </w:r>
      <w:r>
        <w:rPr>
          <w:rFonts w:eastAsia="Arial" w:cs="Calibri"/>
          <w:spacing w:val="1"/>
          <w:sz w:val="24"/>
          <w:szCs w:val="24"/>
        </w:rPr>
        <w:t xml:space="preserve"> the conclusions.</w:t>
      </w:r>
    </w:p>
    <w:p w14:paraId="43139A66" w14:textId="77777777" w:rsidR="00D616D0" w:rsidRDefault="00785CDA">
      <w:pPr>
        <w:spacing w:after="0"/>
        <w:ind w:right="50"/>
        <w:jc w:val="both"/>
        <w:rPr>
          <w:rFonts w:eastAsia="Arial" w:cs="Calibri"/>
          <w:spacing w:val="1"/>
          <w:sz w:val="24"/>
          <w:szCs w:val="24"/>
        </w:rPr>
      </w:pPr>
      <w:r>
        <w:rPr>
          <w:rFonts w:eastAsia="Arial" w:cs="Calibri"/>
          <w:b/>
          <w:sz w:val="24"/>
          <w:szCs w:val="24"/>
          <w:lang w:val="en-GB"/>
        </w:rPr>
        <w:t>Result:</w:t>
      </w:r>
      <w:r>
        <w:rPr>
          <w:rFonts w:eastAsia="Arial" w:cs="Calibri"/>
          <w:sz w:val="24"/>
          <w:szCs w:val="24"/>
          <w:lang w:val="en-GB"/>
        </w:rPr>
        <w:t xml:space="preserve"> A </w:t>
      </w:r>
      <w:r>
        <w:rPr>
          <w:rFonts w:eastAsia="Arial" w:cs="Calibri"/>
          <w:spacing w:val="1"/>
          <w:sz w:val="24"/>
          <w:szCs w:val="24"/>
        </w:rPr>
        <w:t xml:space="preserve">procedure was </w:t>
      </w:r>
      <w:r w:rsidR="00321037">
        <w:rPr>
          <w:rFonts w:eastAsia="Arial" w:cs="Calibri"/>
          <w:spacing w:val="1"/>
          <w:sz w:val="24"/>
          <w:szCs w:val="24"/>
        </w:rPr>
        <w:t>devised</w:t>
      </w:r>
      <w:r>
        <w:rPr>
          <w:rFonts w:eastAsia="Arial" w:cs="Calibri"/>
          <w:spacing w:val="1"/>
          <w:sz w:val="24"/>
          <w:szCs w:val="24"/>
        </w:rPr>
        <w:t xml:space="preserve"> to guide the institutional management of preventive work related to drug use in basic secondary schools, structured in three stages, based on risk management logic, which were operationalized into seven phases and 32 actions.</w:t>
      </w:r>
    </w:p>
    <w:p w14:paraId="62170921" w14:textId="77777777" w:rsidR="00D616D0" w:rsidRDefault="00785CDA">
      <w:pPr>
        <w:spacing w:after="120"/>
        <w:ind w:right="50"/>
        <w:jc w:val="both"/>
        <w:rPr>
          <w:rFonts w:eastAsia="Arial" w:cs="Calibri"/>
          <w:spacing w:val="1"/>
          <w:sz w:val="24"/>
          <w:szCs w:val="24"/>
        </w:rPr>
      </w:pPr>
      <w:r>
        <w:rPr>
          <w:rFonts w:eastAsia="Arial" w:cs="Calibri"/>
          <w:b/>
          <w:sz w:val="24"/>
          <w:szCs w:val="24"/>
          <w:lang w:val="en-GB"/>
        </w:rPr>
        <w:t>Conclusion:</w:t>
      </w:r>
      <w:r>
        <w:rPr>
          <w:rFonts w:eastAsia="Arial" w:cs="Calibri"/>
          <w:sz w:val="24"/>
          <w:szCs w:val="24"/>
          <w:lang w:val="en-GB"/>
        </w:rPr>
        <w:t xml:space="preserve"> </w:t>
      </w:r>
      <w:r w:rsidR="00321037">
        <w:rPr>
          <w:rFonts w:eastAsia="Arial" w:cs="Calibri"/>
          <w:spacing w:val="1"/>
          <w:sz w:val="24"/>
          <w:szCs w:val="24"/>
        </w:rPr>
        <w:t>The devis</w:t>
      </w:r>
      <w:r>
        <w:rPr>
          <w:rFonts w:eastAsia="Arial" w:cs="Calibri"/>
          <w:spacing w:val="1"/>
          <w:sz w:val="24"/>
          <w:szCs w:val="24"/>
        </w:rPr>
        <w:t>ed procedure constitutes a plausible response to carry out preventive work regarding drug consumption in basic secondary schools, as it serves as a methodological resource that facilitates the performance of the management team and encourages the participation of the different actors in the educational community.</w:t>
      </w:r>
    </w:p>
    <w:p w14:paraId="28C61B2B" w14:textId="77777777" w:rsidR="00D616D0" w:rsidRDefault="00785CDA">
      <w:pPr>
        <w:autoSpaceDE w:val="0"/>
        <w:autoSpaceDN w:val="0"/>
        <w:adjustRightInd w:val="0"/>
        <w:spacing w:after="240" w:line="240" w:lineRule="auto"/>
        <w:ind w:right="50"/>
        <w:jc w:val="both"/>
        <w:rPr>
          <w:rFonts w:cs="Calibri"/>
          <w:sz w:val="24"/>
          <w:szCs w:val="24"/>
        </w:rPr>
      </w:pPr>
      <w:r>
        <w:rPr>
          <w:rFonts w:eastAsia="Arial" w:cs="Calibri"/>
          <w:b/>
          <w:sz w:val="24"/>
          <w:szCs w:val="24"/>
        </w:rPr>
        <w:t>Keywor</w:t>
      </w:r>
      <w:r>
        <w:rPr>
          <w:rFonts w:eastAsia="Arial" w:cs="Calibri"/>
          <w:b/>
          <w:spacing w:val="1"/>
          <w:sz w:val="24"/>
          <w:szCs w:val="24"/>
        </w:rPr>
        <w:t>d</w:t>
      </w:r>
      <w:r>
        <w:rPr>
          <w:rFonts w:eastAsia="Arial" w:cs="Calibri"/>
          <w:b/>
          <w:sz w:val="24"/>
          <w:szCs w:val="24"/>
        </w:rPr>
        <w:t>s:</w:t>
      </w:r>
      <w:r>
        <w:rPr>
          <w:rFonts w:eastAsia="Arial" w:cs="Calibri"/>
          <w:sz w:val="24"/>
          <w:szCs w:val="24"/>
        </w:rPr>
        <w:t xml:space="preserve"> adolescence, anti-drug education, basic education, preventive education, risk management</w:t>
      </w:r>
    </w:p>
    <w:p w14:paraId="530D14D7" w14:textId="77777777" w:rsidR="00D616D0" w:rsidRDefault="00785CDA">
      <w:pPr>
        <w:spacing w:after="0"/>
        <w:ind w:right="50"/>
        <w:jc w:val="both"/>
        <w:rPr>
          <w:rFonts w:eastAsia="Arial" w:cs="Calibri"/>
          <w:b/>
          <w:sz w:val="24"/>
          <w:szCs w:val="24"/>
          <w:lang w:val="es-ES_tradnl"/>
        </w:rPr>
      </w:pPr>
      <w:r>
        <w:rPr>
          <w:rFonts w:eastAsia="Arial" w:cs="Calibri"/>
          <w:b/>
          <w:sz w:val="24"/>
          <w:szCs w:val="24"/>
          <w:lang w:val="es-ES_tradnl"/>
        </w:rPr>
        <w:t xml:space="preserve">Recibido: </w:t>
      </w:r>
      <w:r w:rsidR="004E2041">
        <w:rPr>
          <w:rFonts w:eastAsia="Arial" w:cs="Calibri"/>
          <w:sz w:val="24"/>
          <w:szCs w:val="24"/>
          <w:lang w:val="es-ES_tradnl"/>
        </w:rPr>
        <w:t>1 de julio de 2025</w:t>
      </w:r>
    </w:p>
    <w:p w14:paraId="37E55C3D" w14:textId="77777777" w:rsidR="00D616D0" w:rsidRDefault="00785CDA">
      <w:pPr>
        <w:spacing w:after="240"/>
        <w:ind w:right="50"/>
        <w:jc w:val="both"/>
        <w:rPr>
          <w:rFonts w:eastAsia="Arial" w:cs="Calibri"/>
          <w:sz w:val="24"/>
          <w:szCs w:val="24"/>
          <w:lang w:val="es-ES_tradnl"/>
        </w:rPr>
      </w:pPr>
      <w:r>
        <w:rPr>
          <w:rFonts w:eastAsia="Arial" w:cs="Calibri"/>
          <w:b/>
          <w:sz w:val="24"/>
          <w:szCs w:val="24"/>
          <w:lang w:val="es-ES_tradnl"/>
        </w:rPr>
        <w:t xml:space="preserve">Aprobado: </w:t>
      </w:r>
      <w:r>
        <w:rPr>
          <w:rFonts w:eastAsia="Arial" w:cs="Calibri"/>
          <w:sz w:val="24"/>
          <w:szCs w:val="24"/>
          <w:lang w:val="es-ES_tradnl"/>
        </w:rPr>
        <w:t>para uso del editor</w:t>
      </w:r>
    </w:p>
    <w:p w14:paraId="75106BB8" w14:textId="77777777" w:rsidR="00D616D0" w:rsidRDefault="00785CDA">
      <w:pPr>
        <w:autoSpaceDE w:val="0"/>
        <w:autoSpaceDN w:val="0"/>
        <w:adjustRightInd w:val="0"/>
        <w:spacing w:after="120"/>
        <w:ind w:right="50"/>
        <w:jc w:val="both"/>
        <w:rPr>
          <w:rFonts w:cs="Calibri"/>
          <w:sz w:val="24"/>
          <w:szCs w:val="24"/>
          <w:lang w:val="es-ES_tradnl"/>
        </w:rPr>
      </w:pPr>
      <w:r>
        <w:rPr>
          <w:rFonts w:eastAsia="Arial" w:cs="Calibri"/>
          <w:b/>
          <w:bCs/>
          <w:sz w:val="24"/>
          <w:szCs w:val="24"/>
          <w:lang w:val="es-ES_tradnl"/>
        </w:rPr>
        <w:t>Introducción</w:t>
      </w:r>
    </w:p>
    <w:p w14:paraId="120170B3" w14:textId="77777777"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 xml:space="preserve">En el contexto cubano actual el consumo de drogas constituye un problema social que demanda de la más alta prioridad. La adolescencia, como grupo etario, no escapa a la influencia perniciosa de este flagelo y, en consecuencia, esta problemática resulta del máximo interés para las instituciones educativas del nivel de secundaria básica (en lo adelante secundarias básicas), encargadas de la labor educativa encaminada a la formación integral de este segmento poblacional. </w:t>
      </w:r>
    </w:p>
    <w:p w14:paraId="5C4D4A6F" w14:textId="77777777" w:rsidR="00D616D0" w:rsidRDefault="00785CDA">
      <w:pPr>
        <w:spacing w:after="120"/>
        <w:jc w:val="both"/>
        <w:rPr>
          <w:rFonts w:cs="Calibri"/>
          <w:sz w:val="24"/>
          <w:szCs w:val="24"/>
          <w:lang w:val="es-ES"/>
        </w:rPr>
      </w:pPr>
      <w:r>
        <w:rPr>
          <w:rFonts w:cs="Calibri"/>
          <w:sz w:val="24"/>
          <w:szCs w:val="24"/>
          <w:lang w:val="es-ES"/>
        </w:rPr>
        <w:t xml:space="preserve">La labor educativa constituye un proceso dirigido a lograr la formación de las nuevas generaciones de ciudadanos, capaces de enfrentarse a los retos que la vida le planteará. Su realización, en el marco de las clases y otras formas de organización de la actividad docente, las actividades </w:t>
      </w:r>
      <w:proofErr w:type="spellStart"/>
      <w:r>
        <w:rPr>
          <w:rFonts w:cs="Calibri"/>
          <w:sz w:val="24"/>
          <w:szCs w:val="24"/>
          <w:lang w:val="es-ES"/>
        </w:rPr>
        <w:t>extradocentes</w:t>
      </w:r>
      <w:proofErr w:type="spellEnd"/>
      <w:r>
        <w:rPr>
          <w:rFonts w:cs="Calibri"/>
          <w:sz w:val="24"/>
          <w:szCs w:val="24"/>
          <w:lang w:val="es-ES"/>
        </w:rPr>
        <w:t xml:space="preserve"> y extraescolares, implica “</w:t>
      </w:r>
      <w:r w:rsidR="00BC6962">
        <w:rPr>
          <w:rFonts w:cs="Calibri"/>
          <w:iCs/>
          <w:sz w:val="24"/>
          <w:szCs w:val="24"/>
          <w:lang w:val="es-ES"/>
        </w:rPr>
        <w:t xml:space="preserve">[…] </w:t>
      </w:r>
      <w:r>
        <w:rPr>
          <w:rFonts w:cs="Calibri"/>
          <w:sz w:val="24"/>
          <w:szCs w:val="24"/>
          <w:lang w:val="es-ES"/>
        </w:rPr>
        <w:t>un conjunto de actividades conscientemente planificadas y organizadas e</w:t>
      </w:r>
      <w:r w:rsidR="00321037">
        <w:rPr>
          <w:rFonts w:cs="Calibri"/>
          <w:sz w:val="24"/>
          <w:szCs w:val="24"/>
          <w:lang w:val="es-ES"/>
        </w:rPr>
        <w:t>n las que el educando interactúe</w:t>
      </w:r>
      <w:r>
        <w:rPr>
          <w:rFonts w:cs="Calibri"/>
          <w:sz w:val="24"/>
          <w:szCs w:val="24"/>
          <w:lang w:val="es-ES"/>
        </w:rPr>
        <w:t xml:space="preserve"> con sus iguales, en el grupo escolar </w:t>
      </w:r>
      <w:r>
        <w:rPr>
          <w:rFonts w:cs="Calibri"/>
          <w:sz w:val="24"/>
          <w:szCs w:val="24"/>
          <w:lang w:val="es-ES"/>
        </w:rPr>
        <w:lastRenderedPageBreak/>
        <w:t xml:space="preserve">y fuera de él, con sus profesores […], y con todo el personal de la institución educativa, las familias y la comunidad que la rodea.” (Castro </w:t>
      </w:r>
      <w:r w:rsidRPr="00321037">
        <w:rPr>
          <w:rFonts w:cs="Calibri"/>
          <w:i/>
          <w:sz w:val="24"/>
          <w:szCs w:val="24"/>
          <w:lang w:val="es-ES"/>
        </w:rPr>
        <w:t>et al</w:t>
      </w:r>
      <w:r>
        <w:rPr>
          <w:rFonts w:cs="Calibri"/>
          <w:sz w:val="24"/>
          <w:szCs w:val="24"/>
          <w:lang w:val="es-ES"/>
        </w:rPr>
        <w:t>., 2019, p.14)</w:t>
      </w:r>
      <w:r>
        <w:rPr>
          <w:rFonts w:cs="Calibri"/>
          <w:spacing w:val="-6"/>
          <w:sz w:val="24"/>
          <w:szCs w:val="24"/>
          <w:lang w:val="es-ES"/>
        </w:rPr>
        <w:t xml:space="preserve">  </w:t>
      </w:r>
    </w:p>
    <w:p w14:paraId="1C2D6223" w14:textId="77777777" w:rsidR="00D616D0" w:rsidRDefault="00785CDA">
      <w:pPr>
        <w:widowControl/>
        <w:autoSpaceDE w:val="0"/>
        <w:autoSpaceDN w:val="0"/>
        <w:adjustRightInd w:val="0"/>
        <w:spacing w:after="120"/>
        <w:jc w:val="both"/>
        <w:rPr>
          <w:rFonts w:cs="Calibri"/>
          <w:sz w:val="24"/>
          <w:szCs w:val="24"/>
          <w:lang w:val="es-ES"/>
        </w:rPr>
      </w:pPr>
      <w:r>
        <w:rPr>
          <w:rFonts w:cs="Calibri"/>
          <w:spacing w:val="-6"/>
          <w:sz w:val="24"/>
          <w:szCs w:val="24"/>
          <w:lang w:val="es-ES"/>
        </w:rPr>
        <w:t xml:space="preserve">Como componente del contenido de la labor educativa en las secundarias básicas debe prestarse una atención preferente a la labor preventiva en relación con el consumo de drogas, en función del desarrollo en los escolares de </w:t>
      </w:r>
      <w:r>
        <w:rPr>
          <w:rFonts w:cs="Calibri"/>
          <w:sz w:val="24"/>
          <w:szCs w:val="24"/>
          <w:lang w:val="es-ES"/>
        </w:rPr>
        <w:t>un estilo de vida saludable y sostenible evidenciado en “</w:t>
      </w:r>
      <w:r w:rsidR="00BC6962">
        <w:rPr>
          <w:rFonts w:cs="Calibri"/>
          <w:iCs/>
          <w:sz w:val="24"/>
          <w:szCs w:val="24"/>
          <w:lang w:val="es-ES"/>
        </w:rPr>
        <w:t>[…]</w:t>
      </w:r>
      <w:r>
        <w:rPr>
          <w:rFonts w:cs="Calibri"/>
          <w:sz w:val="24"/>
          <w:szCs w:val="24"/>
          <w:lang w:val="es-ES"/>
        </w:rPr>
        <w:t xml:space="preserve"> una percepción de riesgo que estimule el rechazo a las adicciones por consumo de drogas y </w:t>
      </w:r>
      <w:r>
        <w:rPr>
          <w:rFonts w:cs="Calibri"/>
          <w:i/>
          <w:iCs/>
          <w:sz w:val="24"/>
          <w:szCs w:val="24"/>
          <w:lang w:val="es-ES"/>
        </w:rPr>
        <w:t xml:space="preserve">doping </w:t>
      </w:r>
      <w:r w:rsidR="00BC6962">
        <w:rPr>
          <w:rFonts w:cs="Calibri"/>
          <w:iCs/>
          <w:sz w:val="24"/>
          <w:szCs w:val="24"/>
          <w:lang w:val="es-ES"/>
        </w:rPr>
        <w:t>[…]</w:t>
      </w:r>
      <w:r>
        <w:rPr>
          <w:rFonts w:cs="Calibri"/>
          <w:sz w:val="24"/>
          <w:szCs w:val="24"/>
          <w:lang w:val="es-ES"/>
        </w:rPr>
        <w:t xml:space="preserve">”. (Navarro </w:t>
      </w:r>
      <w:r w:rsidRPr="00321037">
        <w:rPr>
          <w:rFonts w:cs="Calibri"/>
          <w:i/>
          <w:sz w:val="24"/>
          <w:szCs w:val="24"/>
          <w:lang w:val="es-ES"/>
        </w:rPr>
        <w:t>et al</w:t>
      </w:r>
      <w:r>
        <w:rPr>
          <w:rFonts w:cs="Calibri"/>
          <w:sz w:val="24"/>
          <w:szCs w:val="24"/>
          <w:lang w:val="es-ES"/>
        </w:rPr>
        <w:t>., 2021, p. 29)</w:t>
      </w:r>
    </w:p>
    <w:p w14:paraId="141A9C14" w14:textId="77777777"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Se asume que la labor preventiva es la dimensión de la labor educativa que comprende un “</w:t>
      </w:r>
      <w:r w:rsidR="00BC6962">
        <w:rPr>
          <w:rFonts w:cs="Calibri"/>
          <w:iCs/>
          <w:sz w:val="24"/>
          <w:szCs w:val="24"/>
          <w:lang w:val="es-ES"/>
        </w:rPr>
        <w:t>[…] s</w:t>
      </w:r>
      <w:r>
        <w:rPr>
          <w:rFonts w:cs="Calibri"/>
          <w:spacing w:val="-6"/>
          <w:sz w:val="24"/>
          <w:szCs w:val="24"/>
          <w:lang w:val="es-ES"/>
        </w:rPr>
        <w:t>istema de acciones dirigidas a garantizar que las condiciones educativas y socio ambientales en que los niños, adolescentes y jóvenes se educan sean las más propicias para su sano desarrollo. Implica investigación, conocimiento de la realidad, reflexión, planificación, trabajo en equipo, evaluación y visión de conjunto, que garantice estar capacitados y preparados para evitar los riesgos o las consecuencias que un problema puede producir” (MINED, 2017, p. 15).</w:t>
      </w:r>
    </w:p>
    <w:p w14:paraId="5BE26A0E" w14:textId="77777777" w:rsidR="00D616D0" w:rsidRDefault="00785CDA">
      <w:pPr>
        <w:widowControl/>
        <w:autoSpaceDE w:val="0"/>
        <w:autoSpaceDN w:val="0"/>
        <w:adjustRightInd w:val="0"/>
        <w:spacing w:after="120"/>
        <w:jc w:val="both"/>
        <w:rPr>
          <w:rFonts w:cs="Calibri"/>
          <w:spacing w:val="-6"/>
          <w:sz w:val="24"/>
          <w:szCs w:val="24"/>
          <w:lang w:val="es-ES"/>
        </w:rPr>
      </w:pPr>
      <w:r>
        <w:rPr>
          <w:rFonts w:cs="Calibri"/>
          <w:sz w:val="24"/>
          <w:szCs w:val="24"/>
          <w:lang w:val="es-ES"/>
        </w:rPr>
        <w:t xml:space="preserve">En tal sentido, la labor preventiva ha de encaminarse a </w:t>
      </w:r>
      <w:r>
        <w:rPr>
          <w:rFonts w:cs="Calibri"/>
          <w:spacing w:val="-6"/>
          <w:sz w:val="24"/>
          <w:szCs w:val="24"/>
          <w:lang w:val="es-ES"/>
        </w:rPr>
        <w:t xml:space="preserve">impedir el consumo de drogas por los adolescentes y a que, cuando ello ocurra, se les brinde una atención integral mediante la actuación coordinada de los agentes educativos con responsabilidad en este proceso. La calidad del diagnóstico integral para identificar los factores de riesgo que pueden favorecer el consumo y las potencialidades con que se cuenta para anular o mitigar sus efectos, constituye un elemento central para proyectar una gestión institucional efectiva de esta labor. </w:t>
      </w:r>
    </w:p>
    <w:p w14:paraId="180B7D2B" w14:textId="77777777"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Aun cuando existe conocimiento sobre lo antes expuesto y, al respecto, en las instituciones educativas se realizan acciones intencionadas a potenciar la gestión institucional de la labor preventiva en esa dirección, los resultados que se alcanzan son insuficientes y tienen como expresión más notable y preocupante el crecimiento sostenido de hechos relacionados con el consumo de drogas por adolescentes, muchos de los cuales se producen en el propio escenario escolar.</w:t>
      </w:r>
    </w:p>
    <w:p w14:paraId="0BCDAB8C" w14:textId="77777777"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 xml:space="preserve">La labor preventiva en relación con el consumo de drogas por adolescentes, cuyo incremento es relativamente reciente en Cuba, ha sido objeto de atención preferente desde la práctica y la investigación educativa tanto nacional como internacionalmente. En este orden, en los últimos años son numerosas las investigaciones que abordan el objeto, y tienen entre sus resultados más significativos: </w:t>
      </w:r>
      <w:r w:rsidRPr="00BC6962">
        <w:rPr>
          <w:rFonts w:cs="Calibri"/>
          <w:bCs/>
          <w:i/>
          <w:spacing w:val="-6"/>
          <w:sz w:val="24"/>
          <w:szCs w:val="24"/>
          <w:lang w:val="es-ES"/>
        </w:rPr>
        <w:t>estudios diagnósticos</w:t>
      </w:r>
      <w:r>
        <w:rPr>
          <w:rFonts w:cs="Calibri"/>
          <w:spacing w:val="-6"/>
          <w:sz w:val="24"/>
          <w:szCs w:val="24"/>
          <w:lang w:val="es-ES"/>
        </w:rPr>
        <w:t xml:space="preserve"> (</w:t>
      </w:r>
      <w:proofErr w:type="spellStart"/>
      <w:r>
        <w:rPr>
          <w:rFonts w:cs="Calibri"/>
          <w:spacing w:val="-6"/>
          <w:sz w:val="24"/>
          <w:szCs w:val="24"/>
          <w:lang w:val="es-ES"/>
        </w:rPr>
        <w:t>Azmawati</w:t>
      </w:r>
      <w:proofErr w:type="spellEnd"/>
      <w:r>
        <w:rPr>
          <w:rFonts w:cs="Calibri"/>
          <w:spacing w:val="-6"/>
          <w:sz w:val="24"/>
          <w:szCs w:val="24"/>
          <w:lang w:val="es-ES"/>
        </w:rPr>
        <w:t xml:space="preserve"> </w:t>
      </w:r>
      <w:r w:rsidRPr="00BC6962">
        <w:rPr>
          <w:rFonts w:cs="Calibri"/>
          <w:i/>
          <w:spacing w:val="-6"/>
          <w:sz w:val="24"/>
          <w:szCs w:val="24"/>
          <w:lang w:val="es-ES"/>
        </w:rPr>
        <w:t>et al</w:t>
      </w:r>
      <w:r>
        <w:rPr>
          <w:rFonts w:cs="Calibri"/>
          <w:spacing w:val="-6"/>
          <w:sz w:val="24"/>
          <w:szCs w:val="24"/>
          <w:lang w:val="es-ES"/>
        </w:rPr>
        <w:t xml:space="preserve">., 2021; Bala </w:t>
      </w:r>
      <w:r w:rsidRPr="00BC6962">
        <w:rPr>
          <w:rFonts w:cs="Calibri"/>
          <w:i/>
          <w:spacing w:val="-6"/>
          <w:sz w:val="24"/>
          <w:szCs w:val="24"/>
          <w:lang w:val="es-ES"/>
        </w:rPr>
        <w:t>et al</w:t>
      </w:r>
      <w:r>
        <w:rPr>
          <w:rFonts w:cs="Calibri"/>
          <w:spacing w:val="-6"/>
          <w:sz w:val="24"/>
          <w:szCs w:val="24"/>
          <w:lang w:val="es-ES"/>
        </w:rPr>
        <w:t xml:space="preserve">., 2021; </w:t>
      </w:r>
      <w:r>
        <w:rPr>
          <w:rFonts w:cs="Calibri"/>
          <w:sz w:val="24"/>
          <w:szCs w:val="24"/>
          <w:lang w:val="es-ES"/>
        </w:rPr>
        <w:t xml:space="preserve">Basedow </w:t>
      </w:r>
      <w:r w:rsidRPr="00BC6962">
        <w:rPr>
          <w:rFonts w:cs="Calibri"/>
          <w:i/>
          <w:sz w:val="24"/>
          <w:szCs w:val="24"/>
          <w:lang w:val="es-ES"/>
        </w:rPr>
        <w:t>et al</w:t>
      </w:r>
      <w:r>
        <w:rPr>
          <w:rFonts w:cs="Calibri"/>
          <w:sz w:val="24"/>
          <w:szCs w:val="24"/>
          <w:lang w:val="es-ES"/>
        </w:rPr>
        <w:t xml:space="preserve">., 2021; </w:t>
      </w:r>
      <w:proofErr w:type="spellStart"/>
      <w:r>
        <w:rPr>
          <w:rFonts w:cs="Calibri"/>
          <w:sz w:val="24"/>
          <w:szCs w:val="24"/>
          <w:lang w:val="es-ES"/>
        </w:rPr>
        <w:t>Bezusova</w:t>
      </w:r>
      <w:proofErr w:type="spellEnd"/>
      <w:r>
        <w:rPr>
          <w:rFonts w:cs="Calibri"/>
          <w:sz w:val="24"/>
          <w:szCs w:val="24"/>
          <w:lang w:val="es-ES"/>
        </w:rPr>
        <w:t xml:space="preserve"> </w:t>
      </w:r>
      <w:r w:rsidRPr="00BC6962">
        <w:rPr>
          <w:rFonts w:cs="Calibri"/>
          <w:i/>
          <w:sz w:val="24"/>
          <w:szCs w:val="24"/>
          <w:lang w:val="es-ES"/>
        </w:rPr>
        <w:t>et al</w:t>
      </w:r>
      <w:r>
        <w:rPr>
          <w:rFonts w:cs="Calibri"/>
          <w:sz w:val="24"/>
          <w:szCs w:val="24"/>
          <w:lang w:val="es-ES"/>
        </w:rPr>
        <w:t xml:space="preserve"> ., 2021; </w:t>
      </w:r>
      <w:r>
        <w:rPr>
          <w:rFonts w:cs="Calibri"/>
          <w:bCs/>
          <w:spacing w:val="-6"/>
          <w:sz w:val="24"/>
          <w:szCs w:val="24"/>
          <w:lang w:val="es-ES"/>
        </w:rPr>
        <w:t>Cango y Suárez, 2021</w:t>
      </w:r>
      <w:r>
        <w:rPr>
          <w:rFonts w:cs="Calibri"/>
          <w:spacing w:val="-6"/>
          <w:sz w:val="24"/>
          <w:szCs w:val="24"/>
          <w:lang w:val="es-ES"/>
        </w:rPr>
        <w:t xml:space="preserve">; </w:t>
      </w:r>
      <w:proofErr w:type="spellStart"/>
      <w:r>
        <w:rPr>
          <w:rFonts w:cs="Calibri"/>
          <w:sz w:val="24"/>
          <w:lang w:val="es-ES"/>
        </w:rPr>
        <w:t>Gephart</w:t>
      </w:r>
      <w:proofErr w:type="spellEnd"/>
      <w:r>
        <w:rPr>
          <w:rFonts w:cs="Calibri"/>
          <w:sz w:val="24"/>
          <w:lang w:val="es-ES"/>
        </w:rPr>
        <w:t xml:space="preserve"> </w:t>
      </w:r>
      <w:r w:rsidRPr="00BC6962">
        <w:rPr>
          <w:rFonts w:cs="Calibri"/>
          <w:i/>
          <w:sz w:val="24"/>
          <w:lang w:val="es-ES"/>
        </w:rPr>
        <w:t>et al</w:t>
      </w:r>
      <w:r>
        <w:rPr>
          <w:rFonts w:cs="Calibri"/>
          <w:sz w:val="24"/>
          <w:lang w:val="es-ES"/>
        </w:rPr>
        <w:t>., 2009;</w:t>
      </w:r>
      <w:r>
        <w:rPr>
          <w:rFonts w:cs="Calibri"/>
          <w:spacing w:val="-6"/>
          <w:sz w:val="24"/>
          <w:szCs w:val="24"/>
          <w:lang w:val="es-ES"/>
        </w:rPr>
        <w:t xml:space="preserve"> </w:t>
      </w:r>
      <w:proofErr w:type="spellStart"/>
      <w:r>
        <w:rPr>
          <w:rFonts w:cs="Calibri"/>
          <w:spacing w:val="-6"/>
          <w:sz w:val="24"/>
          <w:szCs w:val="24"/>
          <w:lang w:val="es-ES"/>
        </w:rPr>
        <w:t>Gurcan</w:t>
      </w:r>
      <w:proofErr w:type="spellEnd"/>
      <w:r>
        <w:rPr>
          <w:rFonts w:cs="Calibri"/>
          <w:spacing w:val="-6"/>
          <w:sz w:val="24"/>
          <w:szCs w:val="24"/>
          <w:lang w:val="es-ES"/>
        </w:rPr>
        <w:t xml:space="preserve">, 2016; Maneiro, 2014; </w:t>
      </w:r>
      <w:r>
        <w:rPr>
          <w:rFonts w:cs="Calibri"/>
          <w:bCs/>
          <w:spacing w:val="-6"/>
          <w:sz w:val="24"/>
          <w:szCs w:val="24"/>
          <w:lang w:val="es-ES"/>
        </w:rPr>
        <w:t xml:space="preserve">Moreta-Herrera </w:t>
      </w:r>
      <w:r w:rsidRPr="00BC6962">
        <w:rPr>
          <w:rFonts w:cs="Calibri"/>
          <w:bCs/>
          <w:i/>
          <w:spacing w:val="-6"/>
          <w:sz w:val="24"/>
          <w:szCs w:val="24"/>
          <w:lang w:val="es-ES"/>
        </w:rPr>
        <w:t>et al</w:t>
      </w:r>
      <w:r>
        <w:rPr>
          <w:rFonts w:cs="Calibri"/>
          <w:bCs/>
          <w:spacing w:val="-6"/>
          <w:sz w:val="24"/>
          <w:szCs w:val="24"/>
          <w:lang w:val="es-ES"/>
        </w:rPr>
        <w:t>., 2018</w:t>
      </w:r>
      <w:r>
        <w:rPr>
          <w:rFonts w:cs="Calibri"/>
          <w:spacing w:val="-6"/>
          <w:sz w:val="24"/>
          <w:szCs w:val="24"/>
          <w:lang w:val="es-ES"/>
        </w:rPr>
        <w:t xml:space="preserve">; </w:t>
      </w:r>
      <w:r>
        <w:rPr>
          <w:rFonts w:cs="Calibri"/>
          <w:bCs/>
          <w:spacing w:val="-6"/>
          <w:sz w:val="24"/>
          <w:szCs w:val="24"/>
          <w:lang w:val="es-ES"/>
        </w:rPr>
        <w:t xml:space="preserve">Osorio </w:t>
      </w:r>
      <w:r w:rsidRPr="00BC6962">
        <w:rPr>
          <w:rFonts w:cs="Calibri"/>
          <w:bCs/>
          <w:i/>
          <w:spacing w:val="-6"/>
          <w:sz w:val="24"/>
          <w:szCs w:val="24"/>
          <w:lang w:val="es-ES"/>
        </w:rPr>
        <w:t>et al</w:t>
      </w:r>
      <w:r>
        <w:rPr>
          <w:rFonts w:cs="Calibri"/>
          <w:bCs/>
          <w:spacing w:val="-6"/>
          <w:sz w:val="24"/>
          <w:szCs w:val="24"/>
          <w:lang w:val="es-ES"/>
        </w:rPr>
        <w:t>., 2024</w:t>
      </w:r>
      <w:r>
        <w:rPr>
          <w:rFonts w:cs="Calibri"/>
          <w:spacing w:val="-6"/>
          <w:sz w:val="24"/>
          <w:szCs w:val="24"/>
          <w:lang w:val="es-ES"/>
        </w:rPr>
        <w:t xml:space="preserve">; </w:t>
      </w:r>
      <w:r>
        <w:rPr>
          <w:rFonts w:cs="Calibri"/>
          <w:bCs/>
          <w:spacing w:val="-6"/>
          <w:sz w:val="24"/>
          <w:szCs w:val="24"/>
          <w:lang w:val="es-ES"/>
        </w:rPr>
        <w:t xml:space="preserve">Samudio </w:t>
      </w:r>
      <w:r w:rsidRPr="00BC6962">
        <w:rPr>
          <w:rFonts w:cs="Calibri"/>
          <w:bCs/>
          <w:i/>
          <w:spacing w:val="-6"/>
          <w:sz w:val="24"/>
          <w:szCs w:val="24"/>
          <w:lang w:val="es-ES"/>
        </w:rPr>
        <w:t>et al</w:t>
      </w:r>
      <w:r>
        <w:rPr>
          <w:rFonts w:cs="Calibri"/>
          <w:bCs/>
          <w:spacing w:val="-6"/>
          <w:sz w:val="24"/>
          <w:szCs w:val="24"/>
          <w:lang w:val="es-ES"/>
        </w:rPr>
        <w:t>., 2021</w:t>
      </w:r>
      <w:r>
        <w:rPr>
          <w:rFonts w:cs="Calibri"/>
          <w:spacing w:val="-6"/>
          <w:sz w:val="24"/>
          <w:szCs w:val="24"/>
          <w:lang w:val="es-ES"/>
        </w:rPr>
        <w:t xml:space="preserve">); </w:t>
      </w:r>
      <w:r w:rsidRPr="00BC6962">
        <w:rPr>
          <w:rFonts w:cs="Calibri"/>
          <w:bCs/>
          <w:i/>
          <w:spacing w:val="-6"/>
          <w:sz w:val="24"/>
          <w:szCs w:val="24"/>
          <w:lang w:val="es-ES"/>
        </w:rPr>
        <w:t>modelos de gestión</w:t>
      </w:r>
      <w:r>
        <w:rPr>
          <w:rFonts w:cs="Calibri"/>
          <w:spacing w:val="-6"/>
          <w:sz w:val="24"/>
          <w:szCs w:val="24"/>
          <w:lang w:val="es-ES"/>
        </w:rPr>
        <w:t xml:space="preserve"> (Díaz-Vicario, 2015); </w:t>
      </w:r>
      <w:r w:rsidRPr="00BC6962">
        <w:rPr>
          <w:rFonts w:cs="Calibri"/>
          <w:bCs/>
          <w:i/>
          <w:spacing w:val="-6"/>
          <w:sz w:val="24"/>
          <w:szCs w:val="24"/>
          <w:lang w:val="es-ES"/>
        </w:rPr>
        <w:t>estrategias</w:t>
      </w:r>
      <w:r>
        <w:rPr>
          <w:rFonts w:cs="Calibri"/>
          <w:b/>
          <w:bCs/>
          <w:spacing w:val="-6"/>
          <w:sz w:val="24"/>
          <w:szCs w:val="24"/>
          <w:lang w:val="es-ES"/>
        </w:rPr>
        <w:t xml:space="preserve"> </w:t>
      </w:r>
      <w:r>
        <w:rPr>
          <w:rFonts w:cs="Calibri"/>
          <w:spacing w:val="-6"/>
          <w:sz w:val="24"/>
          <w:szCs w:val="24"/>
          <w:lang w:val="es-ES"/>
        </w:rPr>
        <w:t xml:space="preserve">(Cango y Suárez, 2021; </w:t>
      </w:r>
      <w:proofErr w:type="spellStart"/>
      <w:r>
        <w:rPr>
          <w:rFonts w:cs="Calibri"/>
          <w:color w:val="000000"/>
          <w:sz w:val="24"/>
          <w:szCs w:val="24"/>
          <w:lang w:val="es-ES"/>
        </w:rPr>
        <w:t>Steinfeld</w:t>
      </w:r>
      <w:proofErr w:type="spellEnd"/>
      <w:r>
        <w:rPr>
          <w:rFonts w:cs="Calibri"/>
          <w:color w:val="000000"/>
          <w:sz w:val="24"/>
          <w:szCs w:val="24"/>
          <w:lang w:val="es-ES"/>
        </w:rPr>
        <w:t xml:space="preserve"> </w:t>
      </w:r>
      <w:r w:rsidRPr="00BC6962">
        <w:rPr>
          <w:rFonts w:cs="Calibri"/>
          <w:i/>
          <w:color w:val="000000"/>
          <w:sz w:val="24"/>
          <w:szCs w:val="24"/>
          <w:lang w:val="es-ES"/>
        </w:rPr>
        <w:t>et al</w:t>
      </w:r>
      <w:r>
        <w:rPr>
          <w:rFonts w:cs="Calibri"/>
          <w:color w:val="000000"/>
          <w:sz w:val="24"/>
          <w:szCs w:val="24"/>
          <w:lang w:val="es-ES"/>
        </w:rPr>
        <w:t xml:space="preserve">., 2023; </w:t>
      </w:r>
      <w:proofErr w:type="spellStart"/>
      <w:r>
        <w:rPr>
          <w:rFonts w:cs="Calibri"/>
          <w:spacing w:val="-6"/>
          <w:sz w:val="24"/>
          <w:szCs w:val="24"/>
          <w:lang w:val="es-ES"/>
        </w:rPr>
        <w:t>Weason</w:t>
      </w:r>
      <w:proofErr w:type="spellEnd"/>
      <w:r>
        <w:rPr>
          <w:rFonts w:cs="Calibri"/>
          <w:spacing w:val="-6"/>
          <w:sz w:val="24"/>
          <w:szCs w:val="24"/>
          <w:lang w:val="es-ES"/>
        </w:rPr>
        <w:t xml:space="preserve"> </w:t>
      </w:r>
      <w:r w:rsidRPr="00031040">
        <w:rPr>
          <w:rFonts w:cs="Calibri"/>
          <w:i/>
          <w:spacing w:val="-6"/>
          <w:sz w:val="24"/>
          <w:szCs w:val="24"/>
          <w:lang w:val="es-ES"/>
        </w:rPr>
        <w:t>et al</w:t>
      </w:r>
      <w:r>
        <w:rPr>
          <w:rFonts w:cs="Calibri"/>
          <w:spacing w:val="-6"/>
          <w:sz w:val="24"/>
          <w:szCs w:val="24"/>
          <w:lang w:val="es-ES"/>
        </w:rPr>
        <w:t>.</w:t>
      </w:r>
      <w:r w:rsidR="00031040">
        <w:rPr>
          <w:rFonts w:cs="Calibri"/>
          <w:spacing w:val="-6"/>
          <w:sz w:val="24"/>
          <w:szCs w:val="24"/>
          <w:lang w:val="es-ES"/>
        </w:rPr>
        <w:t>,</w:t>
      </w:r>
      <w:r>
        <w:rPr>
          <w:rFonts w:cs="Calibri"/>
          <w:spacing w:val="-6"/>
          <w:sz w:val="24"/>
          <w:szCs w:val="24"/>
          <w:lang w:val="es-ES"/>
        </w:rPr>
        <w:t xml:space="preserve"> 2018) y; </w:t>
      </w:r>
      <w:r w:rsidRPr="00BC6962">
        <w:rPr>
          <w:rFonts w:cs="Calibri"/>
          <w:bCs/>
          <w:i/>
          <w:spacing w:val="-6"/>
          <w:sz w:val="24"/>
          <w:szCs w:val="24"/>
          <w:lang w:val="es-ES"/>
        </w:rPr>
        <w:t>procedimientos</w:t>
      </w:r>
      <w:r>
        <w:rPr>
          <w:rFonts w:cs="Calibri"/>
          <w:spacing w:val="-6"/>
          <w:sz w:val="24"/>
          <w:szCs w:val="24"/>
          <w:lang w:val="es-ES"/>
        </w:rPr>
        <w:t xml:space="preserve"> (Reyes </w:t>
      </w:r>
      <w:r w:rsidRPr="00031040">
        <w:rPr>
          <w:rFonts w:cs="Calibri"/>
          <w:i/>
          <w:spacing w:val="-6"/>
          <w:sz w:val="24"/>
          <w:szCs w:val="24"/>
          <w:lang w:val="es-ES"/>
        </w:rPr>
        <w:t>et al.,</w:t>
      </w:r>
      <w:r>
        <w:rPr>
          <w:rFonts w:cs="Calibri"/>
          <w:spacing w:val="-6"/>
          <w:sz w:val="24"/>
          <w:szCs w:val="24"/>
          <w:lang w:val="es-ES"/>
        </w:rPr>
        <w:t xml:space="preserve"> 2021), que aportan información sobre</w:t>
      </w:r>
      <w:r w:rsidR="009A68E2">
        <w:rPr>
          <w:rFonts w:cs="Calibri"/>
          <w:spacing w:val="-6"/>
          <w:sz w:val="24"/>
          <w:szCs w:val="24"/>
          <w:lang w:val="es-ES"/>
        </w:rPr>
        <w:t xml:space="preserve"> su estado en un momento dado, </w:t>
      </w:r>
      <w:r>
        <w:rPr>
          <w:rFonts w:cs="Calibri"/>
          <w:spacing w:val="-6"/>
          <w:sz w:val="24"/>
          <w:szCs w:val="24"/>
          <w:lang w:val="es-ES"/>
        </w:rPr>
        <w:t xml:space="preserve">lo explican desde la perspectiva teórica y/o plantean alternativas para su realización, entre otras aportaciones. </w:t>
      </w:r>
    </w:p>
    <w:p w14:paraId="6C3AD3ED" w14:textId="266FCB01"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lastRenderedPageBreak/>
        <w:t xml:space="preserve">La revisión de los trabajos </w:t>
      </w:r>
      <w:r w:rsidR="00C02305">
        <w:rPr>
          <w:rFonts w:cs="Calibri"/>
          <w:spacing w:val="-6"/>
          <w:sz w:val="24"/>
          <w:szCs w:val="24"/>
          <w:lang w:val="es-ES"/>
        </w:rPr>
        <w:t xml:space="preserve">antes citados </w:t>
      </w:r>
      <w:r>
        <w:rPr>
          <w:rFonts w:cs="Calibri"/>
          <w:spacing w:val="-6"/>
          <w:sz w:val="24"/>
          <w:szCs w:val="24"/>
          <w:lang w:val="es-ES"/>
        </w:rPr>
        <w:t xml:space="preserve">permitió constatar la prevalencia de los estudios diagnósticos y de estrategias pedagógicas para la labor preventiva y/o el tratamiento a las consecuencias del consumo de drogas en adolescentes incluidos en grupos de riesgos o pertenecientes a comunidades en situación de vulnerabilidad. Es común, igualmente, desde estos estudios y propuestas, la alusión a factores de riesgo que deben ser atendidos desde dicha labor preventiva. </w:t>
      </w:r>
    </w:p>
    <w:p w14:paraId="27E12289" w14:textId="667229D9"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El análisis de estos resultados investigativos permitió apreciar, asimismo, dos grandes limitaciones. La primera es la escasez de trabajos que aborden la gestión de la labor preventiva en relación con el consumo de drogas desde el nivel institucional. Son destacables, sin embargo, la propuesta de Díaz-Vicario (2015) que plantea su abordaje, en el contexto español, desde un modelo de gestión de la seguridad integral en los centros educativos, dentro de la cual considera a la protección y el t</w:t>
      </w:r>
      <w:r w:rsidR="00C02305">
        <w:rPr>
          <w:rFonts w:cs="Calibri"/>
          <w:spacing w:val="-6"/>
          <w:sz w:val="24"/>
          <w:szCs w:val="24"/>
          <w:lang w:val="es-ES"/>
        </w:rPr>
        <w:t>ráfico del consumo de drogas y;</w:t>
      </w:r>
      <w:r>
        <w:rPr>
          <w:rFonts w:cs="Calibri"/>
          <w:spacing w:val="-6"/>
          <w:sz w:val="24"/>
          <w:szCs w:val="24"/>
          <w:lang w:val="es-ES"/>
        </w:rPr>
        <w:t xml:space="preserve"> la propuesta de </w:t>
      </w:r>
      <w:proofErr w:type="spellStart"/>
      <w:r>
        <w:rPr>
          <w:rFonts w:cs="Calibri"/>
          <w:spacing w:val="-6"/>
          <w:sz w:val="24"/>
          <w:szCs w:val="24"/>
          <w:lang w:val="es-ES"/>
        </w:rPr>
        <w:t>Weason</w:t>
      </w:r>
      <w:proofErr w:type="spellEnd"/>
      <w:r>
        <w:rPr>
          <w:rFonts w:cs="Calibri"/>
          <w:spacing w:val="-6"/>
          <w:sz w:val="24"/>
          <w:szCs w:val="24"/>
          <w:lang w:val="es-ES"/>
        </w:rPr>
        <w:t xml:space="preserve"> et al. (2018)</w:t>
      </w:r>
      <w:r>
        <w:rPr>
          <w:lang w:val="es-ES"/>
        </w:rPr>
        <w:t xml:space="preserve"> que a</w:t>
      </w:r>
      <w:r>
        <w:rPr>
          <w:rFonts w:cs="Calibri"/>
          <w:spacing w:val="-6"/>
          <w:sz w:val="24"/>
          <w:szCs w:val="24"/>
          <w:lang w:val="es-ES"/>
        </w:rPr>
        <w:t xml:space="preserve">borda cuatro enfoques de prevención del consumo de alcohol y otras drogas, elementos relacionados con la cultura preventiva en los establecimientos educacionales, así como estrategias para la gestión escolar preventiva, en el contexto chileno. </w:t>
      </w:r>
    </w:p>
    <w:p w14:paraId="02F6A9EE" w14:textId="77777777"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 xml:space="preserve">De otro lado, y en ello se localiza la segunda limitación, aun cuando es común la identificación de factores de riesgo asociados al consumo de drogas, las propuestas no abordan este importante proceso en el marco de un modelo de gestión concebido desde el enfoque de riesgos, que no solo considere la identificación de estos, sino también su evaluación y tratamiento, como momentos de un proceso más general. </w:t>
      </w:r>
    </w:p>
    <w:p w14:paraId="4BE1BFDD" w14:textId="61220BAB"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 xml:space="preserve">La gestión basada en el enfoque de riesgos, ampliamente empleada en las organizaciones empresariales y entendida como un componente central del control interno, no es privativa de estas organizaciones. Es también una práctica que puede y requiere ser instituida dentro de las instituciones educativas. Como se define por la </w:t>
      </w:r>
      <w:r>
        <w:rPr>
          <w:rFonts w:cs="Calibri"/>
          <w:sz w:val="24"/>
          <w:lang w:val="es-ES"/>
        </w:rPr>
        <w:t xml:space="preserve">Organización Internacional de Normalización [ISO] </w:t>
      </w:r>
      <w:r>
        <w:rPr>
          <w:rFonts w:cs="Calibri"/>
          <w:spacing w:val="-6"/>
          <w:sz w:val="24"/>
          <w:szCs w:val="24"/>
          <w:lang w:val="es-ES"/>
        </w:rPr>
        <w:t xml:space="preserve">(2018), </w:t>
      </w:r>
      <w:r>
        <w:rPr>
          <w:rFonts w:cs="Calibri"/>
          <w:sz w:val="24"/>
          <w:lang w:val="es-ES"/>
        </w:rPr>
        <w:t xml:space="preserve">en su Norma 31000 (Administración/Gestión de riesgos-Lineamientos guía), </w:t>
      </w:r>
      <w:r>
        <w:rPr>
          <w:rFonts w:cs="Calibri"/>
          <w:spacing w:val="-6"/>
          <w:sz w:val="24"/>
          <w:szCs w:val="24"/>
          <w:lang w:val="es-ES"/>
        </w:rPr>
        <w:t>la gestión de riesgo consiste en un conjunto de “</w:t>
      </w:r>
      <w:r w:rsidR="00C02305">
        <w:rPr>
          <w:rFonts w:cs="Calibri"/>
          <w:spacing w:val="-6"/>
          <w:sz w:val="24"/>
          <w:szCs w:val="24"/>
          <w:lang w:val="es-ES"/>
        </w:rPr>
        <w:t xml:space="preserve"> [</w:t>
      </w:r>
      <w:r>
        <w:rPr>
          <w:rFonts w:cs="Calibri"/>
          <w:spacing w:val="-6"/>
          <w:sz w:val="24"/>
          <w:szCs w:val="24"/>
          <w:lang w:val="es-ES"/>
        </w:rPr>
        <w:t>…</w:t>
      </w:r>
      <w:r w:rsidR="00C02305">
        <w:rPr>
          <w:rFonts w:cs="Calibri"/>
          <w:spacing w:val="-6"/>
          <w:sz w:val="24"/>
          <w:szCs w:val="24"/>
          <w:lang w:val="es-ES"/>
        </w:rPr>
        <w:t xml:space="preserve">] </w:t>
      </w:r>
      <w:r>
        <w:rPr>
          <w:rFonts w:cs="Calibri"/>
          <w:spacing w:val="-6"/>
          <w:sz w:val="24"/>
          <w:szCs w:val="24"/>
          <w:lang w:val="es-ES"/>
        </w:rPr>
        <w:t>actividades coordinadas para dirigir y controlar la organización con relación al riesgo</w:t>
      </w:r>
      <w:r w:rsidR="00C02305">
        <w:rPr>
          <w:rFonts w:cs="Calibri"/>
          <w:spacing w:val="-6"/>
          <w:sz w:val="24"/>
          <w:szCs w:val="24"/>
          <w:lang w:val="es-ES"/>
        </w:rPr>
        <w:t xml:space="preserve"> […]</w:t>
      </w:r>
      <w:r>
        <w:rPr>
          <w:rFonts w:cs="Calibri"/>
          <w:spacing w:val="-6"/>
          <w:sz w:val="24"/>
          <w:szCs w:val="24"/>
          <w:lang w:val="es-ES"/>
        </w:rPr>
        <w:t>” e “</w:t>
      </w:r>
      <w:r w:rsidR="00C02305">
        <w:rPr>
          <w:rFonts w:cs="Calibri"/>
          <w:spacing w:val="-6"/>
          <w:sz w:val="24"/>
          <w:szCs w:val="24"/>
          <w:lang w:val="es-ES"/>
        </w:rPr>
        <w:t>[…] i</w:t>
      </w:r>
      <w:r>
        <w:rPr>
          <w:rFonts w:cs="Calibri"/>
          <w:spacing w:val="-6"/>
          <w:sz w:val="24"/>
          <w:szCs w:val="24"/>
          <w:lang w:val="es-ES"/>
        </w:rPr>
        <w:t>mplica la aplicación sistemática de políticas, procedimientos y prácticas a las actividades de comunicación y consulta, establecimiento del contexto y evaluación, tratamiento, seguimiento, revisión, registro e informe del riesgo.” (p. 10).</w:t>
      </w:r>
    </w:p>
    <w:p w14:paraId="2E8A682A" w14:textId="77777777"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La gestión de riesgos debe concretarse como un proceso intencionado, sistemático y participativo, con el empleo de recursos metodológicos pertinentes, en todos los procesos (clave, estratégicos y de apoyo) de la organización, entre los que tiene una importante relevancia la labor educativa, en el caso de las instituciones que tienen como encargo la educación formalizada. (</w:t>
      </w:r>
      <w:proofErr w:type="spellStart"/>
      <w:r>
        <w:rPr>
          <w:rFonts w:cs="Calibri"/>
          <w:bCs/>
          <w:spacing w:val="-6"/>
          <w:sz w:val="24"/>
          <w:szCs w:val="24"/>
          <w:lang w:val="es-ES"/>
        </w:rPr>
        <w:t>Ceregido</w:t>
      </w:r>
      <w:proofErr w:type="spellEnd"/>
      <w:r>
        <w:rPr>
          <w:rFonts w:cs="Calibri"/>
          <w:bCs/>
          <w:spacing w:val="-6"/>
          <w:sz w:val="24"/>
          <w:szCs w:val="24"/>
          <w:lang w:val="es-ES"/>
        </w:rPr>
        <w:t xml:space="preserve">-Reyes </w:t>
      </w:r>
      <w:r w:rsidRPr="00CC0AA3">
        <w:rPr>
          <w:rFonts w:cs="Calibri"/>
          <w:bCs/>
          <w:i/>
          <w:spacing w:val="-6"/>
          <w:sz w:val="24"/>
          <w:szCs w:val="24"/>
          <w:lang w:val="es-ES"/>
        </w:rPr>
        <w:t>et al</w:t>
      </w:r>
      <w:r>
        <w:rPr>
          <w:rFonts w:cs="Calibri"/>
          <w:bCs/>
          <w:spacing w:val="-6"/>
          <w:sz w:val="24"/>
          <w:szCs w:val="24"/>
          <w:lang w:val="es-ES"/>
        </w:rPr>
        <w:t>., 2020</w:t>
      </w:r>
      <w:r>
        <w:rPr>
          <w:rFonts w:cs="Calibri"/>
          <w:spacing w:val="-6"/>
          <w:sz w:val="24"/>
          <w:szCs w:val="24"/>
          <w:lang w:val="es-ES"/>
        </w:rPr>
        <w:t>)</w:t>
      </w:r>
    </w:p>
    <w:p w14:paraId="0ECAECCD" w14:textId="24FD4B9D" w:rsidR="00D616D0" w:rsidRDefault="00785CDA">
      <w:pPr>
        <w:widowControl/>
        <w:autoSpaceDE w:val="0"/>
        <w:autoSpaceDN w:val="0"/>
        <w:adjustRightInd w:val="0"/>
        <w:spacing w:after="120"/>
        <w:jc w:val="both"/>
        <w:rPr>
          <w:sz w:val="24"/>
          <w:lang w:val="es-ES"/>
        </w:rPr>
      </w:pPr>
      <w:bookmarkStart w:id="1" w:name="_Hlk198111277"/>
      <w:r>
        <w:rPr>
          <w:rFonts w:cs="Calibri"/>
          <w:sz w:val="24"/>
          <w:lang w:val="es-ES"/>
        </w:rPr>
        <w:t xml:space="preserve">El concepto de riesgo, desde la perspectiva organizacional, ha sido objeto de estudio por numerosos investigadores nacionales y foráneos y ha sido definido, igualmente, </w:t>
      </w:r>
      <w:r>
        <w:rPr>
          <w:sz w:val="24"/>
          <w:lang w:val="es-ES"/>
        </w:rPr>
        <w:t>en muchos documentos de carácter normativo. E</w:t>
      </w:r>
      <w:r>
        <w:rPr>
          <w:rFonts w:cs="Calibri"/>
          <w:sz w:val="24"/>
          <w:lang w:val="es-ES"/>
        </w:rPr>
        <w:t xml:space="preserve">n la investigación, cuyos resultados se exponen parcialmente en este trabajo, se asume la definición propuesta en la Norma ISO 31000 donde se </w:t>
      </w:r>
      <w:r>
        <w:rPr>
          <w:rFonts w:cs="Calibri"/>
          <w:sz w:val="24"/>
          <w:lang w:val="es-ES"/>
        </w:rPr>
        <w:lastRenderedPageBreak/>
        <w:t xml:space="preserve">delimita como </w:t>
      </w:r>
      <w:r>
        <w:rPr>
          <w:sz w:val="24"/>
          <w:lang w:val="es-ES"/>
        </w:rPr>
        <w:t xml:space="preserve">“efecto de incertidumbre sobre los objetivos.”, </w:t>
      </w:r>
      <w:r w:rsidR="00CC0AA3">
        <w:rPr>
          <w:sz w:val="24"/>
          <w:lang w:val="es-ES"/>
        </w:rPr>
        <w:t>y se amplía esclareciendo que “u</w:t>
      </w:r>
      <w:r>
        <w:rPr>
          <w:sz w:val="24"/>
          <w:lang w:val="es-ES"/>
        </w:rPr>
        <w:t xml:space="preserve">n efecto es una desviación respecto a lo previsto. Puede ser positivo, negativo o ambos, y puede abordar, crear o resultar en oportunidades y amenazas.” </w:t>
      </w:r>
      <w:r w:rsidRPr="00CC0AA3">
        <w:rPr>
          <w:sz w:val="24"/>
          <w:lang w:val="es-ES"/>
        </w:rPr>
        <w:t>(</w:t>
      </w:r>
      <w:r w:rsidR="00CC0AA3" w:rsidRPr="00CC0AA3">
        <w:rPr>
          <w:rFonts w:cs="Calibri"/>
          <w:sz w:val="24"/>
          <w:lang w:val="es-ES"/>
        </w:rPr>
        <w:t>Organización Internacional de Normalización</w:t>
      </w:r>
      <w:r w:rsidRPr="00CC0AA3">
        <w:rPr>
          <w:sz w:val="24"/>
          <w:lang w:val="es-ES"/>
        </w:rPr>
        <w:t>, 2018, p.7)</w:t>
      </w:r>
    </w:p>
    <w:p w14:paraId="19EB2A46" w14:textId="789D5F6E" w:rsidR="00D616D0" w:rsidRDefault="00785CDA">
      <w:pPr>
        <w:widowControl/>
        <w:autoSpaceDE w:val="0"/>
        <w:autoSpaceDN w:val="0"/>
        <w:adjustRightInd w:val="0"/>
        <w:spacing w:after="120"/>
        <w:jc w:val="both"/>
        <w:rPr>
          <w:sz w:val="24"/>
          <w:lang w:val="es-ES"/>
        </w:rPr>
      </w:pPr>
      <w:r>
        <w:rPr>
          <w:sz w:val="24"/>
          <w:lang w:val="es-ES"/>
        </w:rPr>
        <w:t xml:space="preserve">Según señala </w:t>
      </w:r>
      <w:proofErr w:type="spellStart"/>
      <w:r>
        <w:rPr>
          <w:sz w:val="24"/>
          <w:lang w:val="es-ES"/>
        </w:rPr>
        <w:t>Gephart</w:t>
      </w:r>
      <w:proofErr w:type="spellEnd"/>
      <w:r>
        <w:rPr>
          <w:sz w:val="24"/>
          <w:lang w:val="es-ES"/>
        </w:rPr>
        <w:t xml:space="preserve"> </w:t>
      </w:r>
      <w:r w:rsidRPr="00CC0AA3">
        <w:rPr>
          <w:i/>
          <w:sz w:val="24"/>
          <w:lang w:val="es-ES"/>
        </w:rPr>
        <w:t>et al</w:t>
      </w:r>
      <w:r>
        <w:rPr>
          <w:sz w:val="24"/>
          <w:lang w:val="es-ES"/>
        </w:rPr>
        <w:t>. (2009), al pasar el concepto de riesgo desde las áreas económicas y financieras a otras disciplinas (ingeniería, medicina, química, estudios ambientales, salud, seguridad y psicología, entre otras) “</w:t>
      </w:r>
      <w:r w:rsidR="00CC0AA3">
        <w:rPr>
          <w:sz w:val="24"/>
          <w:lang w:val="es-ES"/>
        </w:rPr>
        <w:t>[</w:t>
      </w:r>
      <w:r>
        <w:rPr>
          <w:sz w:val="24"/>
          <w:lang w:val="es-ES"/>
        </w:rPr>
        <w:t>…</w:t>
      </w:r>
      <w:r w:rsidR="00CC0AA3">
        <w:rPr>
          <w:sz w:val="24"/>
          <w:lang w:val="es-ES"/>
        </w:rPr>
        <w:t xml:space="preserve">] </w:t>
      </w:r>
      <w:r>
        <w:rPr>
          <w:sz w:val="24"/>
          <w:lang w:val="es-ES"/>
        </w:rPr>
        <w:t xml:space="preserve">se asoció con connotaciones negativas y el riesgo empezó a verse menos como oportunidad de ganancia y más con la posibilidad de pérdida, amenaza, peligro o alguna forma de daño.” (p. 6). Con esta connotación se asume en la investigación. </w:t>
      </w:r>
    </w:p>
    <w:p w14:paraId="6DC182F0" w14:textId="310F1117" w:rsidR="00D616D0" w:rsidRDefault="00785CDA">
      <w:pPr>
        <w:widowControl/>
        <w:autoSpaceDE w:val="0"/>
        <w:autoSpaceDN w:val="0"/>
        <w:adjustRightInd w:val="0"/>
        <w:spacing w:after="120"/>
        <w:jc w:val="both"/>
        <w:rPr>
          <w:sz w:val="24"/>
          <w:szCs w:val="24"/>
          <w:lang w:val="es-ES"/>
        </w:rPr>
      </w:pPr>
      <w:r>
        <w:rPr>
          <w:sz w:val="24"/>
          <w:lang w:val="es-ES"/>
        </w:rPr>
        <w:t>El riesgo asociado al consumo de drogas en la adolescencia, y su manifestación en las instituciones educativas encargadas de su formación, ha sido estudiado ampliamente en el contexto foráneo. Al respecto</w:t>
      </w:r>
      <w:r>
        <w:rPr>
          <w:bCs/>
          <w:sz w:val="24"/>
          <w:lang w:val="es-ES"/>
        </w:rPr>
        <w:t>, Maturana</w:t>
      </w:r>
      <w:r>
        <w:rPr>
          <w:rFonts w:cs="Calibri"/>
          <w:bCs/>
          <w:sz w:val="24"/>
          <w:lang w:val="es-ES"/>
        </w:rPr>
        <w:t xml:space="preserve"> (2011</w:t>
      </w:r>
      <w:r>
        <w:rPr>
          <w:sz w:val="24"/>
          <w:lang w:val="es-ES"/>
        </w:rPr>
        <w:t xml:space="preserve">) identificó como </w:t>
      </w:r>
      <w:r>
        <w:rPr>
          <w:bCs/>
          <w:sz w:val="24"/>
          <w:lang w:val="es-ES"/>
        </w:rPr>
        <w:t xml:space="preserve">conductas de riesgo, </w:t>
      </w:r>
      <w:r>
        <w:rPr>
          <w:sz w:val="24"/>
          <w:lang w:val="es-ES"/>
        </w:rPr>
        <w:t>entre otras: violencia</w:t>
      </w:r>
      <w:r>
        <w:rPr>
          <w:rFonts w:cs="Calibri"/>
          <w:sz w:val="24"/>
          <w:szCs w:val="18"/>
          <w:lang w:val="es-ES"/>
        </w:rPr>
        <w:t>, sexualidad no planificada, deserción escolar y conducción vehicular imprudente y; Osorio</w:t>
      </w:r>
      <w:r>
        <w:rPr>
          <w:bCs/>
          <w:noProof/>
          <w:sz w:val="24"/>
          <w:szCs w:val="24"/>
          <w:lang w:val="es-ES_tradnl"/>
        </w:rPr>
        <w:t xml:space="preserve"> </w:t>
      </w:r>
      <w:r w:rsidRPr="00CC0AA3">
        <w:rPr>
          <w:bCs/>
          <w:i/>
          <w:sz w:val="24"/>
          <w:szCs w:val="24"/>
          <w:lang w:val="es-ES"/>
        </w:rPr>
        <w:t>et al</w:t>
      </w:r>
      <w:r>
        <w:rPr>
          <w:bCs/>
          <w:sz w:val="24"/>
          <w:szCs w:val="24"/>
          <w:lang w:val="es-ES"/>
        </w:rPr>
        <w:t>. (2024),</w:t>
      </w:r>
      <w:r>
        <w:rPr>
          <w:sz w:val="24"/>
          <w:szCs w:val="24"/>
          <w:lang w:val="es-ES"/>
        </w:rPr>
        <w:t xml:space="preserve"> encontró entre los </w:t>
      </w:r>
      <w:r>
        <w:rPr>
          <w:rFonts w:cs="Calibri"/>
          <w:bCs/>
          <w:sz w:val="24"/>
          <w:szCs w:val="24"/>
          <w:lang w:val="es-ES"/>
        </w:rPr>
        <w:t>factores de riesgos</w:t>
      </w:r>
      <w:r>
        <w:rPr>
          <w:rFonts w:cs="Calibri"/>
          <w:sz w:val="24"/>
          <w:szCs w:val="24"/>
          <w:lang w:val="es-ES"/>
        </w:rPr>
        <w:t xml:space="preserve"> más recurrentes: tener amigos que no siguen normas sociales, problemas psicológicos, inactividad, aislamiento social, mala conducta, inasistencia escolar y la oportunidad de usar drogas</w:t>
      </w:r>
      <w:r>
        <w:rPr>
          <w:sz w:val="24"/>
          <w:szCs w:val="24"/>
          <w:lang w:val="es-ES"/>
        </w:rPr>
        <w:t>.</w:t>
      </w:r>
    </w:p>
    <w:p w14:paraId="33C92447" w14:textId="76FA21A9" w:rsidR="00D616D0" w:rsidRDefault="00785CDA">
      <w:pPr>
        <w:widowControl/>
        <w:autoSpaceDE w:val="0"/>
        <w:autoSpaceDN w:val="0"/>
        <w:adjustRightInd w:val="0"/>
        <w:spacing w:after="120"/>
        <w:jc w:val="both"/>
        <w:rPr>
          <w:rFonts w:cs="Calibri"/>
          <w:sz w:val="24"/>
          <w:szCs w:val="24"/>
          <w:lang w:val="es-ES"/>
        </w:rPr>
      </w:pPr>
      <w:r>
        <w:rPr>
          <w:rFonts w:cs="Calibri"/>
          <w:sz w:val="24"/>
          <w:szCs w:val="24"/>
          <w:lang w:val="es-ES"/>
        </w:rPr>
        <w:t xml:space="preserve">El fenómeno también ha sido estudiado por </w:t>
      </w:r>
      <w:r>
        <w:rPr>
          <w:rFonts w:cs="Calibri"/>
          <w:bCs/>
          <w:sz w:val="24"/>
          <w:szCs w:val="24"/>
          <w:lang w:val="es-ES"/>
        </w:rPr>
        <w:t xml:space="preserve">Moreta-Herrera </w:t>
      </w:r>
      <w:r w:rsidRPr="000367D3">
        <w:rPr>
          <w:rFonts w:cs="Calibri"/>
          <w:bCs/>
          <w:i/>
          <w:sz w:val="24"/>
          <w:szCs w:val="24"/>
          <w:lang w:val="es-ES"/>
        </w:rPr>
        <w:t>et al.</w:t>
      </w:r>
      <w:r>
        <w:rPr>
          <w:rFonts w:cs="Calibri"/>
          <w:bCs/>
          <w:sz w:val="24"/>
          <w:szCs w:val="24"/>
          <w:lang w:val="es-ES"/>
        </w:rPr>
        <w:t xml:space="preserve"> (201</w:t>
      </w:r>
      <w:r w:rsidR="0031415E">
        <w:rPr>
          <w:rFonts w:cs="Calibri"/>
          <w:bCs/>
          <w:sz w:val="24"/>
          <w:szCs w:val="24"/>
          <w:lang w:val="es-ES"/>
        </w:rPr>
        <w:t>8)</w:t>
      </w:r>
      <w:r w:rsidR="0031415E">
        <w:rPr>
          <w:rFonts w:cs="Calibri"/>
          <w:sz w:val="24"/>
          <w:szCs w:val="24"/>
          <w:lang w:val="es-ES"/>
        </w:rPr>
        <w:t xml:space="preserve"> quienes registraron</w:t>
      </w:r>
      <w:r>
        <w:rPr>
          <w:rFonts w:cs="Calibri"/>
          <w:sz w:val="24"/>
          <w:szCs w:val="24"/>
          <w:lang w:val="es-ES"/>
        </w:rPr>
        <w:t xml:space="preserve"> </w:t>
      </w:r>
      <w:r>
        <w:rPr>
          <w:rFonts w:cs="Calibri"/>
          <w:bCs/>
          <w:sz w:val="24"/>
          <w:szCs w:val="24"/>
          <w:lang w:val="es-ES"/>
        </w:rPr>
        <w:t>factores de riesgo asociados a la exposición reciente</w:t>
      </w:r>
      <w:r>
        <w:rPr>
          <w:rFonts w:cs="Calibri"/>
          <w:sz w:val="24"/>
          <w:szCs w:val="24"/>
          <w:lang w:val="es-ES"/>
        </w:rPr>
        <w:t xml:space="preserve"> (al café, energizantes, alcohol, tabaco y cannabis) en adolescentes escolarizados de la ciudad de Ambato (Ecuador): disponibilidad económica, estudio en centros privados, migración académica, predisposición fav</w:t>
      </w:r>
      <w:r w:rsidR="0031415E">
        <w:rPr>
          <w:rFonts w:cs="Calibri"/>
          <w:sz w:val="24"/>
          <w:szCs w:val="24"/>
          <w:lang w:val="es-ES"/>
        </w:rPr>
        <w:t xml:space="preserve">orable al consumo y ser mujer. </w:t>
      </w:r>
      <w:r>
        <w:rPr>
          <w:rFonts w:cs="Calibri"/>
          <w:bCs/>
          <w:sz w:val="24"/>
          <w:szCs w:val="24"/>
          <w:lang w:val="es-ES"/>
        </w:rPr>
        <w:t xml:space="preserve">Samudio </w:t>
      </w:r>
      <w:r w:rsidRPr="0031415E">
        <w:rPr>
          <w:rFonts w:cs="Calibri"/>
          <w:bCs/>
          <w:i/>
          <w:sz w:val="24"/>
          <w:szCs w:val="24"/>
          <w:lang w:val="es-ES"/>
        </w:rPr>
        <w:t>et al</w:t>
      </w:r>
      <w:r>
        <w:rPr>
          <w:rFonts w:cs="Calibri"/>
          <w:bCs/>
          <w:sz w:val="24"/>
          <w:szCs w:val="24"/>
          <w:lang w:val="es-ES"/>
        </w:rPr>
        <w:t>. (2021),</w:t>
      </w:r>
      <w:r>
        <w:rPr>
          <w:rFonts w:cs="Calibri"/>
          <w:sz w:val="24"/>
          <w:szCs w:val="24"/>
          <w:lang w:val="es-ES"/>
        </w:rPr>
        <w:t xml:space="preserve"> por su parte, identificaron como factores asociados al consumo de drogas ilícitas por adolescentes de zonas marginales de área urbana, en el contexto paraguayo: ser de sexo masculino, antecedente de consumo de drogas en la familia, abandono escolar, consumo de alcohol por el adolescente. </w:t>
      </w:r>
    </w:p>
    <w:p w14:paraId="468191A2" w14:textId="7D7B1CBA" w:rsidR="00D616D0" w:rsidRDefault="00785CDA">
      <w:pPr>
        <w:widowControl/>
        <w:autoSpaceDE w:val="0"/>
        <w:autoSpaceDN w:val="0"/>
        <w:adjustRightInd w:val="0"/>
        <w:spacing w:after="120"/>
        <w:jc w:val="both"/>
        <w:rPr>
          <w:rFonts w:cs="Calibri"/>
          <w:sz w:val="24"/>
          <w:szCs w:val="24"/>
          <w:lang w:val="es-ES"/>
        </w:rPr>
      </w:pPr>
      <w:bookmarkStart w:id="2" w:name="_Hlk198124421"/>
      <w:r>
        <w:rPr>
          <w:rFonts w:cs="Calibri"/>
          <w:sz w:val="24"/>
          <w:szCs w:val="24"/>
          <w:lang w:val="es-ES"/>
        </w:rPr>
        <w:t>La adopción del enfoque de riesgos como perspectiva teórico-metodológica para la gestión de la labor preventiva en relación con el consumo de drogas en las secundarias básicas, no solo supone su ident</w:t>
      </w:r>
      <w:r w:rsidR="0031415E">
        <w:rPr>
          <w:rFonts w:cs="Calibri"/>
          <w:sz w:val="24"/>
          <w:szCs w:val="24"/>
          <w:lang w:val="es-ES"/>
        </w:rPr>
        <w:t>ificación, como se señaló antes,</w:t>
      </w:r>
      <w:r>
        <w:rPr>
          <w:rFonts w:cs="Calibri"/>
          <w:sz w:val="24"/>
          <w:szCs w:val="24"/>
          <w:lang w:val="es-ES"/>
        </w:rPr>
        <w:t xml:space="preserve"> implica la transición por diferentes momentos o subprocesos.</w:t>
      </w:r>
      <w:bookmarkEnd w:id="2"/>
      <w:r>
        <w:rPr>
          <w:rFonts w:cs="Calibri"/>
          <w:sz w:val="24"/>
          <w:szCs w:val="24"/>
          <w:lang w:val="es-ES"/>
        </w:rPr>
        <w:t xml:space="preserve"> Según la Norma ISO 31000 (</w:t>
      </w:r>
      <w:r w:rsidR="00903062" w:rsidRPr="0031415E">
        <w:rPr>
          <w:rFonts w:cs="Calibri"/>
          <w:sz w:val="24"/>
          <w:lang w:val="es-ES"/>
        </w:rPr>
        <w:t>Organización Internacional de Normalización</w:t>
      </w:r>
      <w:r>
        <w:rPr>
          <w:rFonts w:cs="Calibri"/>
          <w:sz w:val="24"/>
          <w:szCs w:val="24"/>
          <w:lang w:val="es-ES"/>
        </w:rPr>
        <w:t xml:space="preserve">, 2018) la gestión de riesgos incluye seis procesos menores (subprocesos): 1) comunicación y consulta; 2) alcance, contexto y criterios; 3) evaluación de riesgos; 4) tratamiento de los riesgos; 5) seguimiento y revisiones y; 6) registros e informes, con propósitos específicos que tributan al cumplimiento del objetivo general de este proceso de gestión. </w:t>
      </w:r>
    </w:p>
    <w:p w14:paraId="73BCC585" w14:textId="0C9956D4" w:rsidR="00D616D0" w:rsidRDefault="00785CDA">
      <w:pPr>
        <w:widowControl/>
        <w:spacing w:after="120"/>
        <w:jc w:val="both"/>
        <w:rPr>
          <w:rFonts w:cs="Calibri"/>
          <w:sz w:val="24"/>
          <w:szCs w:val="24"/>
          <w:lang w:val="es-ES" w:eastAsia="es-MX"/>
        </w:rPr>
      </w:pPr>
      <w:r>
        <w:rPr>
          <w:rFonts w:cs="Calibri"/>
          <w:sz w:val="24"/>
          <w:szCs w:val="24"/>
          <w:lang w:val="es-ES" w:eastAsia="es-MX"/>
        </w:rPr>
        <w:t xml:space="preserve">El propósito de la </w:t>
      </w:r>
      <w:r>
        <w:rPr>
          <w:rFonts w:cs="Calibri"/>
          <w:bCs/>
          <w:sz w:val="24"/>
          <w:szCs w:val="24"/>
          <w:lang w:val="es-ES" w:eastAsia="es-MX"/>
        </w:rPr>
        <w:t>comunicación y consulta</w:t>
      </w:r>
      <w:r>
        <w:rPr>
          <w:rFonts w:cs="Calibri"/>
          <w:sz w:val="24"/>
          <w:szCs w:val="24"/>
          <w:lang w:val="es-ES" w:eastAsia="es-MX"/>
        </w:rPr>
        <w:t xml:space="preserve"> es apoyar a las partes interesadas pertinentes a comprender los riesgos, las bases con las que se toman decisiones y las razones por las que son necesarias acciones específicas. Por su parte, el propósito del establecimiento </w:t>
      </w:r>
      <w:r>
        <w:rPr>
          <w:rFonts w:cs="Calibri"/>
          <w:bCs/>
          <w:sz w:val="24"/>
          <w:szCs w:val="24"/>
          <w:lang w:val="es-ES" w:eastAsia="es-MX"/>
        </w:rPr>
        <w:t xml:space="preserve">del alcance, </w:t>
      </w:r>
      <w:r>
        <w:rPr>
          <w:rFonts w:cs="Calibri"/>
          <w:bCs/>
          <w:sz w:val="24"/>
          <w:szCs w:val="24"/>
          <w:lang w:val="es-ES" w:eastAsia="es-MX"/>
        </w:rPr>
        <w:lastRenderedPageBreak/>
        <w:t>contexto y criterios</w:t>
      </w:r>
      <w:r>
        <w:rPr>
          <w:rFonts w:cs="Calibri"/>
          <w:sz w:val="24"/>
          <w:szCs w:val="24"/>
          <w:lang w:val="es-ES" w:eastAsia="es-MX"/>
        </w:rPr>
        <w:t xml:space="preserve"> es adaptar el proceso para permitir una evaluación de riesgos efectiva y su tratamiento apropiado; implica definir el alcance del proceso, y comprender los contextos interno y ext</w:t>
      </w:r>
      <w:r w:rsidR="0031415E">
        <w:rPr>
          <w:rFonts w:cs="Calibri"/>
          <w:sz w:val="24"/>
          <w:szCs w:val="24"/>
          <w:lang w:val="es-ES" w:eastAsia="es-MX"/>
        </w:rPr>
        <w:t>erno</w:t>
      </w:r>
      <w:r>
        <w:rPr>
          <w:rFonts w:cs="Calibri"/>
          <w:sz w:val="24"/>
          <w:szCs w:val="24"/>
          <w:lang w:val="es-ES"/>
        </w:rPr>
        <w:t xml:space="preserve"> (</w:t>
      </w:r>
      <w:r w:rsidR="0031415E" w:rsidRPr="0031415E">
        <w:rPr>
          <w:rFonts w:cs="Calibri"/>
          <w:sz w:val="24"/>
          <w:lang w:val="es-ES"/>
        </w:rPr>
        <w:t>Organización Internacional de Normalización</w:t>
      </w:r>
      <w:r>
        <w:rPr>
          <w:rFonts w:cs="Calibri"/>
          <w:sz w:val="24"/>
          <w:szCs w:val="24"/>
          <w:lang w:val="es-ES"/>
        </w:rPr>
        <w:t>, 2018)</w:t>
      </w:r>
      <w:r w:rsidR="0031415E">
        <w:rPr>
          <w:rFonts w:cs="Calibri"/>
          <w:sz w:val="24"/>
          <w:szCs w:val="24"/>
          <w:lang w:val="es-ES"/>
        </w:rPr>
        <w:t>.</w:t>
      </w:r>
    </w:p>
    <w:p w14:paraId="2BF27F12" w14:textId="53B54CC5" w:rsidR="00D616D0" w:rsidRDefault="00785CDA">
      <w:pPr>
        <w:widowControl/>
        <w:spacing w:after="120"/>
        <w:jc w:val="both"/>
        <w:rPr>
          <w:rFonts w:cs="Calibri"/>
          <w:sz w:val="24"/>
          <w:szCs w:val="24"/>
          <w:lang w:val="es-ES" w:eastAsia="es-MX"/>
        </w:rPr>
      </w:pPr>
      <w:r>
        <w:rPr>
          <w:rFonts w:cs="Calibri"/>
          <w:sz w:val="24"/>
          <w:szCs w:val="24"/>
          <w:lang w:val="es-ES" w:eastAsia="es-MX"/>
        </w:rPr>
        <w:t xml:space="preserve">La </w:t>
      </w:r>
      <w:r>
        <w:rPr>
          <w:rFonts w:cs="Calibri"/>
          <w:bCs/>
          <w:sz w:val="24"/>
          <w:szCs w:val="24"/>
          <w:lang w:val="es-ES" w:eastAsia="es-MX"/>
        </w:rPr>
        <w:t>evaluación de riesgos</w:t>
      </w:r>
      <w:r>
        <w:rPr>
          <w:rFonts w:cs="Calibri"/>
          <w:sz w:val="24"/>
          <w:szCs w:val="24"/>
          <w:lang w:val="es-ES" w:eastAsia="es-MX"/>
        </w:rPr>
        <w:t xml:space="preserve"> es el proceso global de identificación, análisis y evaluación de los riesgos mismos. El propósito de la identificación es encontrar, reconocer y describir los riesgos que pueden ayudar o impedir a una organización lograr sus objetivos. El propósito del análisis es comprender la naturaleza de los riesgos y sus características incluyendo su nivel. El propósito de la evaluación de los riesgos, propiamente dicha, es apoyar a la toma de decisiones.</w:t>
      </w:r>
      <w:r>
        <w:rPr>
          <w:rFonts w:cs="Calibri"/>
          <w:sz w:val="24"/>
          <w:szCs w:val="24"/>
          <w:lang w:val="es-ES"/>
        </w:rPr>
        <w:t xml:space="preserve"> (</w:t>
      </w:r>
      <w:r w:rsidR="0031415E" w:rsidRPr="0031415E">
        <w:rPr>
          <w:rFonts w:cs="Calibri"/>
          <w:sz w:val="24"/>
          <w:lang w:val="es-ES"/>
        </w:rPr>
        <w:t>Organización Internacional de Normalización</w:t>
      </w:r>
      <w:r>
        <w:rPr>
          <w:rFonts w:cs="Calibri"/>
          <w:sz w:val="24"/>
          <w:szCs w:val="24"/>
          <w:lang w:val="es-ES"/>
        </w:rPr>
        <w:t>, 2018)</w:t>
      </w:r>
    </w:p>
    <w:p w14:paraId="1101A3D8" w14:textId="56CCDB2D" w:rsidR="00D616D0" w:rsidRDefault="00785CDA">
      <w:pPr>
        <w:widowControl/>
        <w:spacing w:after="120"/>
        <w:jc w:val="both"/>
        <w:rPr>
          <w:rFonts w:cs="Calibri"/>
          <w:sz w:val="24"/>
          <w:szCs w:val="24"/>
          <w:lang w:val="es-ES" w:eastAsia="es-MX"/>
        </w:rPr>
      </w:pPr>
      <w:r>
        <w:rPr>
          <w:rFonts w:cs="Calibri"/>
          <w:sz w:val="24"/>
          <w:szCs w:val="24"/>
          <w:lang w:val="es-ES" w:eastAsia="es-MX"/>
        </w:rPr>
        <w:t xml:space="preserve">La intención del </w:t>
      </w:r>
      <w:r>
        <w:rPr>
          <w:rFonts w:cs="Calibri"/>
          <w:bCs/>
          <w:sz w:val="24"/>
          <w:szCs w:val="24"/>
          <w:lang w:val="es-ES" w:eastAsia="es-MX"/>
        </w:rPr>
        <w:t>tratamiento de los riesgos</w:t>
      </w:r>
      <w:r>
        <w:rPr>
          <w:rFonts w:cs="Calibri"/>
          <w:sz w:val="24"/>
          <w:szCs w:val="24"/>
          <w:lang w:val="es-ES" w:eastAsia="es-MX"/>
        </w:rPr>
        <w:t xml:space="preserve"> es seleccionar e implementar opciones para abordarlos; la del </w:t>
      </w:r>
      <w:r>
        <w:rPr>
          <w:rFonts w:cs="Calibri"/>
          <w:bCs/>
          <w:sz w:val="24"/>
          <w:szCs w:val="24"/>
          <w:lang w:val="es-ES" w:eastAsia="es-MX"/>
        </w:rPr>
        <w:t>seguimiento y las revisiones</w:t>
      </w:r>
      <w:r>
        <w:rPr>
          <w:rFonts w:cs="Calibri"/>
          <w:sz w:val="24"/>
          <w:szCs w:val="24"/>
          <w:lang w:val="es-ES" w:eastAsia="es-MX"/>
        </w:rPr>
        <w:t xml:space="preserve"> asegurar y mejorar la calidad y efectividad del diseño, la implementación y los resultados del proceso; y la de los </w:t>
      </w:r>
      <w:r>
        <w:rPr>
          <w:rFonts w:cs="Calibri"/>
          <w:bCs/>
          <w:sz w:val="24"/>
          <w:szCs w:val="24"/>
          <w:lang w:val="es-ES" w:eastAsia="es-MX"/>
        </w:rPr>
        <w:t>registros e informes</w:t>
      </w:r>
      <w:r>
        <w:rPr>
          <w:rFonts w:cs="Calibri"/>
          <w:sz w:val="24"/>
          <w:szCs w:val="24"/>
          <w:lang w:val="es-ES" w:eastAsia="es-MX"/>
        </w:rPr>
        <w:t xml:space="preserve"> comunicar las actividades del proceso y sus resultados a lo largo de la organización, ofrecer información para la toma de decisiones, mejorar las actividades del proceso y apoyar en la interacción con las partes interesadas.</w:t>
      </w:r>
      <w:r>
        <w:rPr>
          <w:rFonts w:cs="Calibri"/>
          <w:sz w:val="24"/>
          <w:szCs w:val="24"/>
          <w:lang w:val="es-ES"/>
        </w:rPr>
        <w:t xml:space="preserve"> (</w:t>
      </w:r>
      <w:r w:rsidR="0031415E" w:rsidRPr="0031415E">
        <w:rPr>
          <w:rFonts w:cs="Calibri"/>
          <w:sz w:val="24"/>
          <w:lang w:val="es-ES"/>
        </w:rPr>
        <w:t>Organización Internacional de Normalización</w:t>
      </w:r>
      <w:r>
        <w:rPr>
          <w:rFonts w:cs="Calibri"/>
          <w:sz w:val="24"/>
          <w:szCs w:val="24"/>
          <w:lang w:val="es-ES"/>
        </w:rPr>
        <w:t>, 2018)</w:t>
      </w:r>
    </w:p>
    <w:p w14:paraId="06F741D5" w14:textId="4A3218B4" w:rsidR="00D616D0" w:rsidRDefault="00785CDA" w:rsidP="007072D2">
      <w:pPr>
        <w:widowControl/>
        <w:spacing w:after="240"/>
        <w:jc w:val="both"/>
        <w:rPr>
          <w:rFonts w:cs="Calibri"/>
          <w:sz w:val="24"/>
          <w:szCs w:val="24"/>
          <w:lang w:val="es-ES" w:eastAsia="es-MX"/>
        </w:rPr>
      </w:pPr>
      <w:r>
        <w:rPr>
          <w:rFonts w:cs="Calibri"/>
          <w:sz w:val="24"/>
          <w:szCs w:val="24"/>
          <w:lang w:val="es-ES" w:eastAsia="es-MX"/>
        </w:rPr>
        <w:t xml:space="preserve">A partir de los presupuestos asumidos, en función de la solución de un problema científico asociado a insuficiencias en la labor preventiva en relación con el consumo de drogas en las secundarias básicas, que limitan la formación integral de los educandos de este nivel, se desarrolló una tarea de investigación dirigida a elaborar un procedimiento para la gestión institucional de dicha labor, modelado desde el enfoque de riesgos, que se </w:t>
      </w:r>
      <w:r w:rsidR="0031415E">
        <w:rPr>
          <w:rFonts w:cs="Calibri"/>
          <w:sz w:val="24"/>
          <w:szCs w:val="24"/>
          <w:lang w:val="es-ES" w:eastAsia="es-MX"/>
        </w:rPr>
        <w:t xml:space="preserve">asume como objetivo y se </w:t>
      </w:r>
      <w:r>
        <w:rPr>
          <w:rFonts w:cs="Calibri"/>
          <w:sz w:val="24"/>
          <w:szCs w:val="24"/>
          <w:lang w:val="es-ES" w:eastAsia="es-MX"/>
        </w:rPr>
        <w:t xml:space="preserve">expone en el presente artículo. </w:t>
      </w:r>
    </w:p>
    <w:bookmarkEnd w:id="1"/>
    <w:p w14:paraId="56A529DF" w14:textId="77777777" w:rsidR="00D616D0" w:rsidRDefault="00785CDA">
      <w:pPr>
        <w:ind w:left="720" w:hanging="720"/>
        <w:jc w:val="both"/>
        <w:rPr>
          <w:rFonts w:cs="Calibri"/>
          <w:b/>
          <w:sz w:val="24"/>
          <w:szCs w:val="24"/>
          <w:lang w:val="es-ES_tradnl"/>
        </w:rPr>
      </w:pPr>
      <w:r>
        <w:rPr>
          <w:rFonts w:eastAsia="Arial" w:cs="Calibri"/>
          <w:b/>
          <w:bCs/>
          <w:sz w:val="24"/>
          <w:szCs w:val="24"/>
          <w:lang w:val="es-ES_tradnl"/>
        </w:rPr>
        <w:t>Métodos</w:t>
      </w:r>
    </w:p>
    <w:p w14:paraId="19443145" w14:textId="59169AF7"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 xml:space="preserve">El procedimiento se diseñó mediante el empleo de los métodos de modelación y </w:t>
      </w:r>
      <w:r>
        <w:rPr>
          <w:rFonts w:eastAsia="Times New Roman" w:cs="Calibri"/>
          <w:sz w:val="24"/>
          <w:szCs w:val="24"/>
          <w:lang w:val="es-ES" w:eastAsia="es-ES"/>
        </w:rPr>
        <w:t xml:space="preserve">sistémico estructural funcional que posibilitaron establecer la lógica y los componentes estructurales (etapas, fases y acciones) que lo conforman, explicar las interacciones que se producen entre ellos, así como precisar los requerimientos metodológicos que exige la realización del proceso modelado. Se tomaron también como referentes propuestas precedentes sustentadas en las concepciones teórico-metodológicas del enfoque a procesos, desde la que los procedimientos son entendidos como una forma </w:t>
      </w:r>
      <w:bookmarkStart w:id="3" w:name="_Hlk201749823"/>
      <w:r>
        <w:rPr>
          <w:rFonts w:eastAsia="Times New Roman" w:cs="Calibri"/>
          <w:sz w:val="24"/>
          <w:szCs w:val="24"/>
          <w:lang w:val="es-ES" w:eastAsia="es-ES"/>
        </w:rPr>
        <w:t>especificada de llevar a cabo una actividad o un proceso</w:t>
      </w:r>
      <w:bookmarkEnd w:id="3"/>
      <w:r>
        <w:rPr>
          <w:rFonts w:eastAsia="Times New Roman" w:cs="Calibri"/>
          <w:sz w:val="24"/>
          <w:szCs w:val="24"/>
          <w:lang w:val="es-ES" w:eastAsia="es-ES"/>
        </w:rPr>
        <w:t>.</w:t>
      </w:r>
      <w:r>
        <w:rPr>
          <w:rFonts w:cs="Calibri"/>
          <w:spacing w:val="-6"/>
          <w:sz w:val="24"/>
          <w:szCs w:val="24"/>
          <w:lang w:val="es-ES"/>
        </w:rPr>
        <w:t xml:space="preserve"> Al respecto, constituyeron dos referentes metodológicos principales la Norma 31 000 (Administración/ Gestión de riesgos-Lineamientos guía) (ISO, 2018), recurrentemente mencionada, y la propuesta de </w:t>
      </w:r>
      <w:proofErr w:type="spellStart"/>
      <w:r>
        <w:rPr>
          <w:rFonts w:cs="Calibri"/>
          <w:spacing w:val="-6"/>
          <w:sz w:val="24"/>
          <w:szCs w:val="24"/>
          <w:lang w:val="es-ES"/>
        </w:rPr>
        <w:t>Ceregido</w:t>
      </w:r>
      <w:proofErr w:type="spellEnd"/>
      <w:r>
        <w:rPr>
          <w:rFonts w:cs="Calibri"/>
          <w:spacing w:val="-6"/>
          <w:sz w:val="24"/>
          <w:szCs w:val="24"/>
          <w:lang w:val="es-ES"/>
        </w:rPr>
        <w:t xml:space="preserve">-Reyes </w:t>
      </w:r>
      <w:r w:rsidRPr="00903062">
        <w:rPr>
          <w:rFonts w:cs="Calibri"/>
          <w:i/>
          <w:spacing w:val="-6"/>
          <w:sz w:val="24"/>
          <w:szCs w:val="24"/>
          <w:lang w:val="es-ES"/>
        </w:rPr>
        <w:t>et al</w:t>
      </w:r>
      <w:r>
        <w:rPr>
          <w:rFonts w:cs="Calibri"/>
          <w:spacing w:val="-6"/>
          <w:sz w:val="24"/>
          <w:szCs w:val="24"/>
          <w:lang w:val="es-ES"/>
        </w:rPr>
        <w:t>. (2020).</w:t>
      </w:r>
    </w:p>
    <w:p w14:paraId="20204E37" w14:textId="77777777" w:rsidR="00D616D0" w:rsidRDefault="00785CDA">
      <w:pPr>
        <w:widowControl/>
        <w:autoSpaceDE w:val="0"/>
        <w:autoSpaceDN w:val="0"/>
        <w:adjustRightInd w:val="0"/>
        <w:spacing w:after="120"/>
        <w:jc w:val="both"/>
        <w:rPr>
          <w:rFonts w:cs="Calibri"/>
          <w:spacing w:val="-6"/>
          <w:sz w:val="24"/>
          <w:szCs w:val="24"/>
          <w:lang w:val="es-ES"/>
        </w:rPr>
      </w:pPr>
      <w:r>
        <w:rPr>
          <w:rFonts w:cs="Calibri"/>
          <w:spacing w:val="-6"/>
          <w:sz w:val="24"/>
          <w:szCs w:val="24"/>
          <w:lang w:val="es-ES"/>
        </w:rPr>
        <w:t xml:space="preserve">La conformación del marco teórico-metodológico de la investigación, devenido de la sistematización basada en la revisión de una amplia variedad de materiales bibliográficos contentivos de resultados de investigaciones referidas al objeto de estudio, se desarrolló a partir del empleo de otros métodos </w:t>
      </w:r>
      <w:r>
        <w:rPr>
          <w:rFonts w:cs="Calibri"/>
          <w:spacing w:val="-6"/>
          <w:sz w:val="24"/>
          <w:szCs w:val="24"/>
          <w:lang w:val="es-ES"/>
        </w:rPr>
        <w:lastRenderedPageBreak/>
        <w:t xml:space="preserve">teóricos de la investigación educativa como el análisis-síntesis y la inducción-deducción, que fueron igualmente de amplia utilidad para la presentación de los resultados y discusión y en la elaboración de las conclusiones de este artículo. </w:t>
      </w:r>
    </w:p>
    <w:p w14:paraId="126560EF" w14:textId="77777777" w:rsidR="00D616D0" w:rsidRDefault="00785CDA">
      <w:pPr>
        <w:spacing w:after="120"/>
        <w:ind w:right="50"/>
        <w:jc w:val="both"/>
        <w:rPr>
          <w:rFonts w:cs="Calibri"/>
          <w:b/>
          <w:sz w:val="24"/>
          <w:szCs w:val="24"/>
          <w:lang w:val="es-ES_tradnl"/>
        </w:rPr>
      </w:pPr>
      <w:r>
        <w:rPr>
          <w:rFonts w:eastAsia="Arial" w:cs="Calibri"/>
          <w:b/>
          <w:bCs/>
          <w:sz w:val="24"/>
          <w:szCs w:val="24"/>
          <w:lang w:val="es-ES_tradnl"/>
        </w:rPr>
        <w:t>Resultados y discusión</w:t>
      </w:r>
    </w:p>
    <w:p w14:paraId="56447934" w14:textId="77777777" w:rsidR="00D616D0" w:rsidRDefault="00785CDA">
      <w:pPr>
        <w:spacing w:after="0"/>
        <w:jc w:val="both"/>
        <w:rPr>
          <w:rFonts w:cs="Calibri"/>
          <w:bCs/>
          <w:sz w:val="24"/>
          <w:szCs w:val="24"/>
          <w:lang w:val="es-ES"/>
        </w:rPr>
      </w:pPr>
      <w:r>
        <w:rPr>
          <w:rFonts w:cs="Calibri"/>
          <w:bCs/>
          <w:sz w:val="24"/>
          <w:szCs w:val="24"/>
          <w:lang w:val="es-ES" w:eastAsia="es-MX"/>
        </w:rPr>
        <w:t xml:space="preserve">El procedimiento elaborado </w:t>
      </w:r>
      <w:r>
        <w:rPr>
          <w:rFonts w:cs="Calibri"/>
          <w:sz w:val="24"/>
          <w:szCs w:val="24"/>
          <w:lang w:val="es-ES"/>
        </w:rPr>
        <w:t xml:space="preserve">tiene el objetivo de orientar la actuación de los directivos de las secundarias básicas para la gestión de la labor preventiva en relación con el consumo de drogas. El proceso que describe implica la adopción de un conjunto de decisiones ordenadas relativas a: a) la </w:t>
      </w:r>
      <w:r>
        <w:rPr>
          <w:rFonts w:eastAsia="Times New Roman" w:cs="Calibri"/>
          <w:bCs/>
          <w:sz w:val="24"/>
          <w:szCs w:val="24"/>
          <w:lang w:val="es-ES" w:eastAsia="es-MX"/>
        </w:rPr>
        <w:t>d</w:t>
      </w:r>
      <w:r>
        <w:rPr>
          <w:rFonts w:cs="Calibri"/>
          <w:bCs/>
          <w:sz w:val="24"/>
          <w:szCs w:val="24"/>
          <w:lang w:val="es-ES"/>
        </w:rPr>
        <w:t>efinición del alcance, el</w:t>
      </w:r>
      <w:r>
        <w:rPr>
          <w:rFonts w:eastAsia="Times New Roman" w:cs="Calibri"/>
          <w:bCs/>
          <w:sz w:val="24"/>
          <w:szCs w:val="24"/>
          <w:lang w:val="es-ES" w:eastAsia="es-MX"/>
        </w:rPr>
        <w:t xml:space="preserve"> contexto interno y externo y los criterios para riesgos; b) la</w:t>
      </w:r>
      <w:r>
        <w:rPr>
          <w:rFonts w:cs="Calibri"/>
          <w:bCs/>
          <w:sz w:val="24"/>
          <w:szCs w:val="24"/>
          <w:lang w:val="es-ES"/>
        </w:rPr>
        <w:t xml:space="preserve"> identificación, el análisis, la valoración y el tratamiento de riesgos y; c) la determinación de los objetivos de control y la actualización del plan de prevención institucional, en el marco de la comunicación y consulta permanente con la comunidad educativa. La implementación, el control sistemático y la evaluación periódica de los objetivos de control y del plan de prevención de riesgos actualizado constituyen el cierre de un ciclo de dicho proceso de gestión, cuyos resultados deben contribuir a la eliminación y/o reducción del efecto de los riesgos manejados en el consumo de drogas por los educandos.  </w:t>
      </w:r>
    </w:p>
    <w:p w14:paraId="1BEAAB91" w14:textId="77777777" w:rsidR="00D616D0" w:rsidRDefault="00785CDA" w:rsidP="00903062">
      <w:pPr>
        <w:spacing w:after="120"/>
        <w:jc w:val="both"/>
        <w:rPr>
          <w:rFonts w:eastAsia="Arial Unicode MS" w:cs="Calibri"/>
          <w:bCs/>
          <w:sz w:val="24"/>
          <w:szCs w:val="24"/>
          <w:lang w:val="es-ES"/>
        </w:rPr>
      </w:pPr>
      <w:r>
        <w:rPr>
          <w:rFonts w:cs="Calibri"/>
          <w:sz w:val="24"/>
          <w:szCs w:val="24"/>
          <w:lang w:val="es-ES"/>
        </w:rPr>
        <w:t>El proceso de gestión de la labor preventiva en relación con el consumo de drogas en las secundarias básicas está sustentado legalmente en</w:t>
      </w:r>
      <w:r>
        <w:rPr>
          <w:rFonts w:eastAsia="Times New Roman" w:cs="Calibri"/>
          <w:sz w:val="24"/>
          <w:szCs w:val="24"/>
          <w:lang w:val="es-ES" w:eastAsia="es-MX"/>
        </w:rPr>
        <w:t xml:space="preserve"> la</w:t>
      </w:r>
      <w:r>
        <w:rPr>
          <w:rFonts w:cs="Calibri"/>
          <w:sz w:val="24"/>
          <w:szCs w:val="24"/>
          <w:lang w:val="es-ES"/>
        </w:rPr>
        <w:t xml:space="preserve"> Resolución 60/2011, que instituye las “Normas del Sistema de Control Interno” (</w:t>
      </w:r>
      <w:r>
        <w:rPr>
          <w:rFonts w:eastAsia="Times New Roman" w:cs="Calibri"/>
          <w:sz w:val="24"/>
          <w:szCs w:val="24"/>
          <w:lang w:val="es-ES" w:eastAsia="es-MX"/>
        </w:rPr>
        <w:t>Contraloría General de la República de Cuba, 2011)</w:t>
      </w:r>
      <w:r>
        <w:rPr>
          <w:rFonts w:cs="Calibri"/>
          <w:sz w:val="24"/>
          <w:szCs w:val="24"/>
          <w:lang w:val="es-ES"/>
        </w:rPr>
        <w:t xml:space="preserve">, válidas para todas las organizaciones en el contexto cubano. </w:t>
      </w:r>
      <w:r>
        <w:rPr>
          <w:rFonts w:eastAsia="Times New Roman" w:cs="Calibri"/>
          <w:sz w:val="24"/>
          <w:szCs w:val="24"/>
          <w:lang w:val="es-ES" w:eastAsia="es-MX"/>
        </w:rPr>
        <w:t xml:space="preserve">En correspondencia con el principio “de fijación de responsabilidades”, establecido en la norma jurídica, </w:t>
      </w:r>
      <w:r>
        <w:rPr>
          <w:rFonts w:cs="Calibri"/>
          <w:sz w:val="24"/>
          <w:szCs w:val="24"/>
          <w:lang w:val="es-ES"/>
        </w:rPr>
        <w:t xml:space="preserve">se </w:t>
      </w:r>
      <w:r>
        <w:rPr>
          <w:rFonts w:eastAsia="Times New Roman" w:cs="Calibri"/>
          <w:sz w:val="24"/>
          <w:szCs w:val="24"/>
          <w:lang w:val="es-ES" w:eastAsia="es-MX"/>
        </w:rPr>
        <w:t>define al director de la institución educativa, y al equipo directivo que encabeza, como máximos responsables del proceso que el procedimiento describe. De igual modo, concierne una alta responsabilidad al Grupo de Trabajo Preventivo Institucional</w:t>
      </w:r>
      <w:r>
        <w:rPr>
          <w:rFonts w:cs="Calibri"/>
          <w:sz w:val="24"/>
          <w:szCs w:val="24"/>
          <w:lang w:val="es-ES"/>
        </w:rPr>
        <w:t xml:space="preserve"> (GTPI) que, en su condición de </w:t>
      </w:r>
      <w:r>
        <w:rPr>
          <w:rFonts w:eastAsia="Times New Roman" w:cs="Calibri"/>
          <w:sz w:val="24"/>
          <w:szCs w:val="24"/>
          <w:lang w:val="es-ES" w:eastAsia="es-MX"/>
        </w:rPr>
        <w:t>órgano colegiado establecido por la Resolución 111/2017 (MINED, 2017), asiste y asesora a la dirección de la institución educativa para el desarrollo de la labor preventiva.</w:t>
      </w:r>
      <w:r>
        <w:rPr>
          <w:rFonts w:eastAsia="Arial Unicode MS" w:cs="Calibri"/>
          <w:bCs/>
          <w:sz w:val="24"/>
          <w:szCs w:val="24"/>
          <w:lang w:val="es-ES"/>
        </w:rPr>
        <w:t xml:space="preserve"> </w:t>
      </w:r>
    </w:p>
    <w:p w14:paraId="14C48DD4" w14:textId="77777777" w:rsidR="00D616D0" w:rsidRDefault="00785CDA" w:rsidP="00903062">
      <w:pPr>
        <w:spacing w:after="120"/>
        <w:ind w:right="51"/>
        <w:jc w:val="both"/>
        <w:rPr>
          <w:rFonts w:cs="Calibri"/>
          <w:bCs/>
          <w:sz w:val="24"/>
          <w:szCs w:val="24"/>
          <w:lang w:val="es-ES"/>
        </w:rPr>
      </w:pPr>
      <w:r>
        <w:rPr>
          <w:rFonts w:eastAsia="Arial" w:cs="Calibri"/>
          <w:spacing w:val="1"/>
          <w:sz w:val="24"/>
          <w:szCs w:val="24"/>
          <w:lang w:val="es-ES_tradnl"/>
        </w:rPr>
        <w:t>El procedimiento, estructurado en tres etapas que se operacionalizaron en siete fases y 32 acciones, basadas en la lógica funcional de la gestión de riesgos</w:t>
      </w:r>
      <w:r>
        <w:rPr>
          <w:rFonts w:eastAsia="Arial" w:cs="Calibri"/>
          <w:sz w:val="24"/>
          <w:szCs w:val="24"/>
          <w:lang w:val="es-ES_tradnl"/>
        </w:rPr>
        <w:t xml:space="preserve">, está diseñado para el marco temporal que abarca un curso escolar y se inserta en </w:t>
      </w:r>
      <w:r>
        <w:rPr>
          <w:rFonts w:eastAsia="Times New Roman" w:cs="Calibri"/>
          <w:sz w:val="24"/>
          <w:szCs w:val="24"/>
          <w:lang w:val="es-ES" w:eastAsia="es-MX"/>
        </w:rPr>
        <w:t xml:space="preserve">el sistema de trabajo de las instituciones educativas de secundaria básica. Las acciones que dimanan del proceso, establecidas en </w:t>
      </w:r>
      <w:r>
        <w:rPr>
          <w:rFonts w:cs="Calibri"/>
          <w:bCs/>
          <w:sz w:val="24"/>
          <w:szCs w:val="24"/>
          <w:lang w:val="es-ES"/>
        </w:rPr>
        <w:t xml:space="preserve">el plan de prevención institucional, se integran, igualmente, en el proyecto educativo y la planificación táctica y operativa institucional. </w:t>
      </w:r>
    </w:p>
    <w:p w14:paraId="5381C1AD" w14:textId="77777777" w:rsidR="00D616D0" w:rsidRDefault="00785CDA">
      <w:pPr>
        <w:spacing w:after="0"/>
        <w:ind w:right="50"/>
        <w:jc w:val="both"/>
        <w:rPr>
          <w:rFonts w:eastAsia="Arial" w:cs="Calibri"/>
          <w:b/>
          <w:bCs/>
          <w:sz w:val="24"/>
          <w:szCs w:val="24"/>
          <w:lang w:val="es-ES_tradnl"/>
        </w:rPr>
      </w:pPr>
      <w:r>
        <w:rPr>
          <w:rFonts w:eastAsia="Arial" w:cs="Calibri"/>
          <w:b/>
          <w:bCs/>
          <w:spacing w:val="1"/>
          <w:sz w:val="24"/>
          <w:szCs w:val="24"/>
          <w:lang w:val="es-ES_tradnl"/>
        </w:rPr>
        <w:t xml:space="preserve">Etapas fases y acciones del procedimiento </w:t>
      </w:r>
    </w:p>
    <w:p w14:paraId="33EFE483" w14:textId="70C57DFF" w:rsidR="00D616D0" w:rsidRPr="00903062" w:rsidRDefault="00785CDA">
      <w:pPr>
        <w:spacing w:after="120"/>
        <w:jc w:val="both"/>
        <w:rPr>
          <w:rFonts w:cs="Calibri"/>
          <w:i/>
          <w:sz w:val="24"/>
          <w:szCs w:val="24"/>
          <w:lang w:val="es-ES"/>
        </w:rPr>
      </w:pPr>
      <w:r w:rsidRPr="00903062">
        <w:rPr>
          <w:rFonts w:cs="Calibri"/>
          <w:i/>
          <w:sz w:val="24"/>
          <w:szCs w:val="24"/>
          <w:lang w:val="es-ES"/>
        </w:rPr>
        <w:t xml:space="preserve">Etapa 1.  De preparación e inicio </w:t>
      </w:r>
      <w:r w:rsidRPr="00903062">
        <w:rPr>
          <w:rFonts w:eastAsia="Times New Roman" w:cs="Calibri"/>
          <w:i/>
          <w:sz w:val="24"/>
          <w:szCs w:val="24"/>
          <w:lang w:val="es-ES" w:eastAsia="es-MX"/>
        </w:rPr>
        <w:t xml:space="preserve">de la gestión de la labor preventiva en relación con el consumo de drogas en las secundarias básicas, desde el enfoque de riesgos </w:t>
      </w:r>
    </w:p>
    <w:p w14:paraId="151E4731" w14:textId="77777777" w:rsidR="00D616D0" w:rsidRDefault="00785CDA">
      <w:pPr>
        <w:spacing w:after="120"/>
        <w:jc w:val="both"/>
        <w:rPr>
          <w:rFonts w:cs="Calibri"/>
          <w:sz w:val="24"/>
          <w:szCs w:val="24"/>
          <w:lang w:val="es-ES"/>
        </w:rPr>
      </w:pPr>
      <w:r>
        <w:rPr>
          <w:rFonts w:eastAsia="Times New Roman" w:cs="Calibri"/>
          <w:bCs/>
          <w:sz w:val="24"/>
          <w:szCs w:val="24"/>
          <w:lang w:val="es-ES" w:eastAsia="es-MX"/>
        </w:rPr>
        <w:t xml:space="preserve">La etapa, que se concreta en dos fases y 11 acciones, tiene como objetivo la creación de </w:t>
      </w:r>
      <w:r>
        <w:rPr>
          <w:rFonts w:eastAsia="Times New Roman" w:cs="Calibri"/>
          <w:bCs/>
          <w:sz w:val="24"/>
          <w:szCs w:val="24"/>
          <w:lang w:val="es-ES" w:eastAsia="es-MX"/>
        </w:rPr>
        <w:lastRenderedPageBreak/>
        <w:t xml:space="preserve">condiciones organizativas y la adopción de decisiones consensuadas sobre el alcance, el contexto interno y externo y los criterios requeridos para facilitar la toma de decisiones en las etapas siguientes. </w:t>
      </w:r>
    </w:p>
    <w:p w14:paraId="459DCEDC" w14:textId="2F256035" w:rsidR="00D616D0" w:rsidRPr="00903062" w:rsidRDefault="00785CDA">
      <w:pPr>
        <w:spacing w:after="120"/>
        <w:jc w:val="both"/>
        <w:rPr>
          <w:rFonts w:cs="Calibri"/>
          <w:i/>
          <w:sz w:val="24"/>
          <w:szCs w:val="24"/>
          <w:lang w:val="es-ES"/>
        </w:rPr>
      </w:pPr>
      <w:r w:rsidRPr="00903062">
        <w:rPr>
          <w:rFonts w:eastAsia="Times New Roman" w:cs="Calibri"/>
          <w:i/>
          <w:sz w:val="24"/>
          <w:szCs w:val="24"/>
          <w:lang w:val="es-ES" w:eastAsia="es-MX"/>
        </w:rPr>
        <w:t>Fase 1.1. De inicio del proceso de gestión de la labor preventiva en relación con el consumo de drogas en las secundarias básicas</w:t>
      </w:r>
    </w:p>
    <w:p w14:paraId="5215A044" w14:textId="77777777" w:rsidR="00D616D0" w:rsidRDefault="00785CDA">
      <w:pPr>
        <w:spacing w:after="120"/>
        <w:jc w:val="both"/>
        <w:rPr>
          <w:rFonts w:eastAsia="Times New Roman" w:cs="Calibri"/>
          <w:bCs/>
          <w:sz w:val="24"/>
          <w:szCs w:val="24"/>
          <w:lang w:val="es-ES" w:eastAsia="es-MX"/>
        </w:rPr>
      </w:pPr>
      <w:r>
        <w:rPr>
          <w:rFonts w:eastAsia="Times New Roman" w:cs="Calibri"/>
          <w:bCs/>
          <w:sz w:val="24"/>
          <w:szCs w:val="24"/>
          <w:lang w:val="es-ES" w:eastAsia="es-MX"/>
        </w:rPr>
        <w:t xml:space="preserve">Tiene como objetivo el despliegue de acciones organizativas y de aseguramiento para el inicio del proceso de gestión aludido, a partir de las acciones siguientes: </w:t>
      </w:r>
    </w:p>
    <w:p w14:paraId="22B24272" w14:textId="43F498AD" w:rsidR="00D616D0" w:rsidRDefault="00903062">
      <w:pPr>
        <w:pStyle w:val="Prrafodelista"/>
        <w:widowControl/>
        <w:numPr>
          <w:ilvl w:val="0"/>
          <w:numId w:val="1"/>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1.1.1.</w:t>
      </w:r>
      <w:r w:rsidR="00785CDA">
        <w:rPr>
          <w:rFonts w:eastAsia="Times New Roman" w:cs="Calibri"/>
          <w:bCs/>
          <w:sz w:val="24"/>
          <w:szCs w:val="24"/>
          <w:lang w:val="es-ES" w:eastAsia="es-MX"/>
        </w:rPr>
        <w:t xml:space="preserve"> Reunión de preparación del Grupo de Trabajo P</w:t>
      </w:r>
      <w:r>
        <w:rPr>
          <w:rFonts w:eastAsia="Times New Roman" w:cs="Calibri"/>
          <w:bCs/>
          <w:sz w:val="24"/>
          <w:szCs w:val="24"/>
          <w:lang w:val="es-ES" w:eastAsia="es-MX"/>
        </w:rPr>
        <w:t xml:space="preserve">reventivo Institucional (GTPI) </w:t>
      </w:r>
      <w:r w:rsidR="00785CDA">
        <w:rPr>
          <w:rFonts w:eastAsia="Times New Roman" w:cs="Calibri"/>
          <w:bCs/>
          <w:sz w:val="24"/>
          <w:szCs w:val="24"/>
          <w:lang w:val="es-ES" w:eastAsia="es-MX"/>
        </w:rPr>
        <w:t>que apoyará al equipo directivo en la aplicación del procedimiento (designación de los encargados de ela</w:t>
      </w:r>
      <w:r>
        <w:rPr>
          <w:rFonts w:eastAsia="Times New Roman" w:cs="Calibri"/>
          <w:bCs/>
          <w:sz w:val="24"/>
          <w:szCs w:val="24"/>
          <w:lang w:val="es-ES" w:eastAsia="es-MX"/>
        </w:rPr>
        <w:t>borar el cronograma de trabajo).</w:t>
      </w:r>
      <w:r w:rsidR="00785CDA">
        <w:rPr>
          <w:rFonts w:eastAsia="Times New Roman" w:cs="Calibri"/>
          <w:bCs/>
          <w:sz w:val="24"/>
          <w:szCs w:val="24"/>
          <w:lang w:val="es-ES" w:eastAsia="es-MX"/>
        </w:rPr>
        <w:t xml:space="preserve"> </w:t>
      </w:r>
    </w:p>
    <w:p w14:paraId="2BABDEEA" w14:textId="7A379415" w:rsidR="00D616D0" w:rsidRDefault="00903062">
      <w:pPr>
        <w:pStyle w:val="Prrafodelista"/>
        <w:widowControl/>
        <w:numPr>
          <w:ilvl w:val="0"/>
          <w:numId w:val="1"/>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 xml:space="preserve">Acción 1.1.2. </w:t>
      </w:r>
      <w:r w:rsidR="00785CDA">
        <w:rPr>
          <w:rFonts w:eastAsia="Times New Roman" w:cs="Calibri"/>
          <w:bCs/>
          <w:sz w:val="24"/>
          <w:szCs w:val="24"/>
          <w:lang w:val="es-ES" w:eastAsia="es-MX"/>
        </w:rPr>
        <w:t xml:space="preserve">Elaboración del cronograma del proceso, que precise el momento de realización de cada una </w:t>
      </w:r>
      <w:r>
        <w:rPr>
          <w:rFonts w:eastAsia="Times New Roman" w:cs="Calibri"/>
          <w:bCs/>
          <w:sz w:val="24"/>
          <w:szCs w:val="24"/>
          <w:lang w:val="es-ES" w:eastAsia="es-MX"/>
        </w:rPr>
        <w:t>de sus etapas, fases y acciones.</w:t>
      </w:r>
      <w:r w:rsidR="00785CDA">
        <w:rPr>
          <w:rFonts w:eastAsia="Times New Roman" w:cs="Calibri"/>
          <w:bCs/>
          <w:sz w:val="24"/>
          <w:szCs w:val="24"/>
          <w:lang w:val="es-ES" w:eastAsia="es-MX"/>
        </w:rPr>
        <w:t xml:space="preserve"> </w:t>
      </w:r>
    </w:p>
    <w:p w14:paraId="7B938621" w14:textId="63C94EFC" w:rsidR="00D616D0" w:rsidRDefault="00903062">
      <w:pPr>
        <w:pStyle w:val="Prrafodelista"/>
        <w:widowControl/>
        <w:numPr>
          <w:ilvl w:val="0"/>
          <w:numId w:val="1"/>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1.1.3.</w:t>
      </w:r>
      <w:r w:rsidR="00785CDA">
        <w:rPr>
          <w:rFonts w:eastAsia="Times New Roman" w:cs="Calibri"/>
          <w:bCs/>
          <w:sz w:val="24"/>
          <w:szCs w:val="24"/>
          <w:lang w:val="es-ES" w:eastAsia="es-MX"/>
        </w:rPr>
        <w:t xml:space="preserve"> Valora</w:t>
      </w:r>
      <w:r>
        <w:rPr>
          <w:rFonts w:eastAsia="Times New Roman" w:cs="Calibri"/>
          <w:bCs/>
          <w:sz w:val="24"/>
          <w:szCs w:val="24"/>
          <w:lang w:val="es-ES" w:eastAsia="es-MX"/>
        </w:rPr>
        <w:t>ción del cronograma por el GTPI.</w:t>
      </w:r>
      <w:r w:rsidR="00785CDA">
        <w:rPr>
          <w:rFonts w:eastAsia="Times New Roman" w:cs="Calibri"/>
          <w:bCs/>
          <w:sz w:val="24"/>
          <w:szCs w:val="24"/>
          <w:lang w:val="es-ES" w:eastAsia="es-MX"/>
        </w:rPr>
        <w:t xml:space="preserve"> </w:t>
      </w:r>
    </w:p>
    <w:p w14:paraId="658D98FF" w14:textId="2F039719" w:rsidR="00D616D0" w:rsidRDefault="00903062">
      <w:pPr>
        <w:pStyle w:val="Prrafodelista"/>
        <w:widowControl/>
        <w:numPr>
          <w:ilvl w:val="0"/>
          <w:numId w:val="1"/>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1.1.4.</w:t>
      </w:r>
      <w:r w:rsidR="00785CDA">
        <w:rPr>
          <w:rFonts w:eastAsia="Times New Roman" w:cs="Calibri"/>
          <w:bCs/>
          <w:sz w:val="24"/>
          <w:szCs w:val="24"/>
          <w:lang w:val="es-ES" w:eastAsia="es-MX"/>
        </w:rPr>
        <w:t xml:space="preserve"> Información y consulta a los miembros de la comunidad educativa (directivos, docentes, educandos, familias y factores de la comunidad) sobre el cronograma propuesto por el GTPI, para escuchar y registrar sus criterios en función de posibles modificaciones</w:t>
      </w:r>
      <w:r>
        <w:rPr>
          <w:rFonts w:eastAsia="Times New Roman" w:cs="Calibri"/>
          <w:bCs/>
          <w:sz w:val="24"/>
          <w:szCs w:val="24"/>
          <w:lang w:val="es-ES" w:eastAsia="es-MX"/>
        </w:rPr>
        <w:t>.</w:t>
      </w:r>
      <w:r w:rsidR="00785CDA">
        <w:rPr>
          <w:rFonts w:eastAsia="Times New Roman" w:cs="Calibri"/>
          <w:bCs/>
          <w:sz w:val="24"/>
          <w:szCs w:val="24"/>
          <w:lang w:val="es-ES" w:eastAsia="es-MX"/>
        </w:rPr>
        <w:t xml:space="preserve"> </w:t>
      </w:r>
    </w:p>
    <w:p w14:paraId="043355F8" w14:textId="35BC8ECF" w:rsidR="00D616D0" w:rsidRDefault="00785CDA">
      <w:pPr>
        <w:pStyle w:val="Prrafodelista"/>
        <w:widowControl/>
        <w:numPr>
          <w:ilvl w:val="0"/>
          <w:numId w:val="1"/>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1.1.5</w:t>
      </w:r>
      <w:r w:rsidR="00903062">
        <w:rPr>
          <w:rFonts w:eastAsia="Times New Roman" w:cs="Calibri"/>
          <w:bCs/>
          <w:sz w:val="24"/>
          <w:szCs w:val="24"/>
          <w:lang w:val="es-ES" w:eastAsia="es-MX"/>
        </w:rPr>
        <w:t>.</w:t>
      </w:r>
      <w:r>
        <w:rPr>
          <w:rFonts w:eastAsia="Times New Roman" w:cs="Calibri"/>
          <w:bCs/>
          <w:sz w:val="24"/>
          <w:szCs w:val="24"/>
          <w:lang w:val="es-ES" w:eastAsia="es-MX"/>
        </w:rPr>
        <w:t xml:space="preserve"> Presentación y aprobación de la versión ajustada del cronograma por el Consejo de Dirección de la institución educativa.</w:t>
      </w:r>
    </w:p>
    <w:p w14:paraId="4075AAB7" w14:textId="77777777" w:rsidR="00D616D0" w:rsidRPr="00903062" w:rsidRDefault="00785CDA">
      <w:pPr>
        <w:spacing w:after="120"/>
        <w:jc w:val="both"/>
        <w:rPr>
          <w:rFonts w:cs="Calibri"/>
          <w:i/>
          <w:sz w:val="24"/>
          <w:szCs w:val="24"/>
          <w:lang w:val="es-ES"/>
        </w:rPr>
      </w:pPr>
      <w:r w:rsidRPr="00903062">
        <w:rPr>
          <w:rFonts w:eastAsia="Times New Roman" w:cs="Calibri"/>
          <w:i/>
          <w:sz w:val="24"/>
          <w:szCs w:val="24"/>
          <w:lang w:val="es-ES" w:eastAsia="es-MX"/>
        </w:rPr>
        <w:t>Fase 1.2. De d</w:t>
      </w:r>
      <w:r w:rsidRPr="00903062">
        <w:rPr>
          <w:rFonts w:cs="Calibri"/>
          <w:i/>
          <w:sz w:val="24"/>
          <w:szCs w:val="24"/>
          <w:lang w:val="es-ES"/>
        </w:rPr>
        <w:t>efinición del alcance, el</w:t>
      </w:r>
      <w:r w:rsidRPr="00903062">
        <w:rPr>
          <w:rFonts w:eastAsia="Times New Roman" w:cs="Calibri"/>
          <w:i/>
          <w:sz w:val="24"/>
          <w:szCs w:val="24"/>
          <w:lang w:val="es-ES" w:eastAsia="es-MX"/>
        </w:rPr>
        <w:t xml:space="preserve"> contexto interno y externo y los criterios para riesgos a considerar en la gestión de la labor preventiva en relación con el consumo de drogas en las secundarias básicas</w:t>
      </w:r>
    </w:p>
    <w:p w14:paraId="7D22FAFB" w14:textId="49DE6800" w:rsidR="00D616D0" w:rsidRDefault="00785CDA">
      <w:pPr>
        <w:spacing w:after="120"/>
        <w:jc w:val="both"/>
        <w:rPr>
          <w:rFonts w:eastAsia="Times New Roman" w:cs="Calibri"/>
          <w:bCs/>
          <w:sz w:val="24"/>
          <w:szCs w:val="24"/>
          <w:lang w:val="es-ES" w:eastAsia="es-MX"/>
        </w:rPr>
      </w:pPr>
      <w:r>
        <w:rPr>
          <w:rFonts w:eastAsia="Times New Roman" w:cs="Calibri"/>
          <w:bCs/>
          <w:sz w:val="24"/>
          <w:szCs w:val="24"/>
          <w:lang w:val="es-ES" w:eastAsia="es-MX"/>
        </w:rPr>
        <w:t>El objetivo de esta fase es: a) establecer el alcance que tendrá la gestión de riesgos en la labor preventiva en relación con el consumo de drogas, en especial de sus objetivos; b) caracterizar los contextos interno y externo para dicha gestión, a partir de la actualización de</w:t>
      </w:r>
      <w:r w:rsidR="00903062">
        <w:rPr>
          <w:rFonts w:eastAsia="Times New Roman" w:cs="Calibri"/>
          <w:bCs/>
          <w:sz w:val="24"/>
          <w:szCs w:val="24"/>
          <w:lang w:val="es-ES" w:eastAsia="es-MX"/>
        </w:rPr>
        <w:t xml:space="preserve">l diagnóstico institucional y; </w:t>
      </w:r>
      <w:r>
        <w:rPr>
          <w:rFonts w:eastAsia="Times New Roman" w:cs="Calibri"/>
          <w:bCs/>
          <w:sz w:val="24"/>
          <w:szCs w:val="24"/>
          <w:lang w:val="es-ES" w:eastAsia="es-MX"/>
        </w:rPr>
        <w:t xml:space="preserve">c) definir los criterios que servirán de base a la toma de decisiones en las etapas que </w:t>
      </w:r>
      <w:r w:rsidR="00903062">
        <w:rPr>
          <w:rFonts w:eastAsia="Times New Roman" w:cs="Calibri"/>
          <w:bCs/>
          <w:sz w:val="24"/>
          <w:szCs w:val="24"/>
          <w:lang w:val="es-ES" w:eastAsia="es-MX"/>
        </w:rPr>
        <w:t>continúan</w:t>
      </w:r>
      <w:r>
        <w:rPr>
          <w:rFonts w:eastAsia="Times New Roman" w:cs="Calibri"/>
          <w:bCs/>
          <w:sz w:val="24"/>
          <w:szCs w:val="24"/>
          <w:lang w:val="es-ES" w:eastAsia="es-MX"/>
        </w:rPr>
        <w:t xml:space="preserve">, considerando la cantidad y el tipo de riesgos que se van a tomar, cómo se va a evaluar su importancia y qué opciones se tendrán en cuenta para su tratamiento. La fase incluye las acciones (6) que se relacionan a continuación: </w:t>
      </w:r>
    </w:p>
    <w:p w14:paraId="42035A7B" w14:textId="4F13EDC7" w:rsidR="00D616D0" w:rsidRDefault="00785CDA">
      <w:pPr>
        <w:pStyle w:val="Prrafodelista"/>
        <w:widowControl/>
        <w:numPr>
          <w:ilvl w:val="0"/>
          <w:numId w:val="20"/>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1.2.1. Definición del alcance que tendrá la gestión de riesgos en la labor preventiva en relación con el consumo de drogas en la institución educativa en sesi</w:t>
      </w:r>
      <w:r w:rsidR="00903062">
        <w:rPr>
          <w:rFonts w:eastAsia="Times New Roman" w:cs="Calibri"/>
          <w:bCs/>
          <w:sz w:val="24"/>
          <w:szCs w:val="24"/>
          <w:lang w:val="es-ES" w:eastAsia="es-MX"/>
        </w:rPr>
        <w:t xml:space="preserve">ón del GTPI, lo que implicará: </w:t>
      </w:r>
      <w:r>
        <w:rPr>
          <w:rFonts w:eastAsia="Times New Roman" w:cs="Calibri"/>
          <w:bCs/>
          <w:sz w:val="24"/>
          <w:szCs w:val="24"/>
          <w:lang w:val="es-ES" w:eastAsia="es-MX"/>
        </w:rPr>
        <w:t>a) Fundamentación del proceso a desarrollar como una dimensión del proceso de prevención de riesgos d</w:t>
      </w:r>
      <w:r w:rsidR="00903062">
        <w:rPr>
          <w:rFonts w:eastAsia="Times New Roman" w:cs="Calibri"/>
          <w:bCs/>
          <w:sz w:val="24"/>
          <w:szCs w:val="24"/>
          <w:lang w:val="es-ES" w:eastAsia="es-MX"/>
        </w:rPr>
        <w:t>e la institución educativa; b) d</w:t>
      </w:r>
      <w:r>
        <w:rPr>
          <w:rFonts w:eastAsia="Times New Roman" w:cs="Calibri"/>
          <w:bCs/>
          <w:sz w:val="24"/>
          <w:szCs w:val="24"/>
          <w:lang w:val="es-ES" w:eastAsia="es-MX"/>
        </w:rPr>
        <w:t xml:space="preserve">efinición de los objetivos a lograr y precisión de los indicadores para valorar los resultados alcanzados y los </w:t>
      </w:r>
      <w:r w:rsidR="00903062">
        <w:rPr>
          <w:rFonts w:eastAsia="Times New Roman" w:cs="Calibri"/>
          <w:bCs/>
          <w:sz w:val="24"/>
          <w:szCs w:val="24"/>
          <w:lang w:val="es-ES" w:eastAsia="es-MX"/>
        </w:rPr>
        <w:t>plazos para su obtención y; c) e</w:t>
      </w:r>
      <w:r>
        <w:rPr>
          <w:rFonts w:eastAsia="Times New Roman" w:cs="Calibri"/>
          <w:bCs/>
          <w:sz w:val="24"/>
          <w:szCs w:val="24"/>
          <w:lang w:val="es-ES" w:eastAsia="es-MX"/>
        </w:rPr>
        <w:t xml:space="preserve">l enfoque de la gestión centrado en “riesgos inherentes” al contenido de la actividad de las instituciones educativas, así como riesgos emocionales y sociales, riesgos </w:t>
      </w:r>
      <w:r>
        <w:rPr>
          <w:rFonts w:eastAsia="Times New Roman" w:cs="Calibri"/>
          <w:bCs/>
          <w:sz w:val="24"/>
          <w:szCs w:val="24"/>
          <w:lang w:val="es-ES" w:eastAsia="es-MX"/>
        </w:rPr>
        <w:lastRenderedPageBreak/>
        <w:t>psicosociales (que afectan la salud mental y emocional de los estudiantes), riesgos de seguridad en internet</w:t>
      </w:r>
      <w:r w:rsidR="00903062">
        <w:rPr>
          <w:rFonts w:eastAsia="Times New Roman" w:cs="Calibri"/>
          <w:bCs/>
          <w:sz w:val="24"/>
          <w:szCs w:val="24"/>
          <w:lang w:val="es-ES" w:eastAsia="es-MX"/>
        </w:rPr>
        <w:t xml:space="preserve"> y riesgos de salud entre otros.</w:t>
      </w:r>
      <w:r>
        <w:rPr>
          <w:rFonts w:eastAsia="Times New Roman" w:cs="Calibri"/>
          <w:bCs/>
          <w:sz w:val="24"/>
          <w:szCs w:val="24"/>
          <w:lang w:val="es-ES" w:eastAsia="es-MX"/>
        </w:rPr>
        <w:t xml:space="preserve"> </w:t>
      </w:r>
    </w:p>
    <w:p w14:paraId="15B2FEB9" w14:textId="7D5CCCCD" w:rsidR="00D616D0" w:rsidRDefault="00785CDA">
      <w:pPr>
        <w:pStyle w:val="Prrafodelista"/>
        <w:widowControl/>
        <w:numPr>
          <w:ilvl w:val="0"/>
          <w:numId w:val="20"/>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1.2.2. Establecimiento del contexto interno y externo para la gestión de riesgos en la labor preventiva en relación con el consumo de drogas, a partir de la actualización del diagnóstico institucional en sesi</w:t>
      </w:r>
      <w:r w:rsidR="00903062">
        <w:rPr>
          <w:rFonts w:eastAsia="Times New Roman" w:cs="Calibri"/>
          <w:bCs/>
          <w:sz w:val="24"/>
          <w:szCs w:val="24"/>
          <w:lang w:val="es-ES" w:eastAsia="es-MX"/>
        </w:rPr>
        <w:t>ón del GTPI, lo que implicará: 1.2.2.1. e</w:t>
      </w:r>
      <w:r>
        <w:rPr>
          <w:rFonts w:eastAsia="Times New Roman" w:cs="Calibri"/>
          <w:bCs/>
          <w:sz w:val="24"/>
          <w:szCs w:val="24"/>
          <w:lang w:val="es-ES" w:eastAsia="es-MX"/>
        </w:rPr>
        <w:t xml:space="preserve">studio del contexto familiar y social-comunitario en que se desarrolla la vida de los educandos, enfocado a conocer el comportamiento de la drogadicción en este marco e identificar posibles factores de riesgo que puedan inducir al consumo por los adolescentes; 1.2.2.2. </w:t>
      </w:r>
      <w:r w:rsidR="00903062">
        <w:rPr>
          <w:rFonts w:eastAsia="Times New Roman" w:cs="Calibri"/>
          <w:bCs/>
          <w:sz w:val="24"/>
          <w:szCs w:val="24"/>
          <w:lang w:val="es-ES" w:eastAsia="es-MX"/>
        </w:rPr>
        <w:t>a</w:t>
      </w:r>
      <w:r>
        <w:rPr>
          <w:rFonts w:eastAsia="Times New Roman" w:cs="Calibri"/>
          <w:bCs/>
          <w:sz w:val="24"/>
          <w:szCs w:val="24"/>
          <w:lang w:val="es-ES" w:eastAsia="es-MX"/>
        </w:rPr>
        <w:t xml:space="preserve">nálisis del comportamiento histórico y actual del consumo de drogas y eventos asociados a este en el entorno de la institución educativa; 1.2.2.3. </w:t>
      </w:r>
      <w:r w:rsidR="00903062">
        <w:rPr>
          <w:rFonts w:eastAsia="Times New Roman" w:cs="Calibri"/>
          <w:bCs/>
          <w:sz w:val="24"/>
          <w:szCs w:val="24"/>
          <w:lang w:val="es-ES" w:eastAsia="es-MX"/>
        </w:rPr>
        <w:t xml:space="preserve">caracterización </w:t>
      </w:r>
      <w:r>
        <w:rPr>
          <w:rFonts w:eastAsia="Times New Roman" w:cs="Calibri"/>
          <w:bCs/>
          <w:sz w:val="24"/>
          <w:szCs w:val="24"/>
          <w:lang w:val="es-ES" w:eastAsia="es-MX"/>
        </w:rPr>
        <w:t xml:space="preserve">de los elementos culturales concernientes a la gestión de riesgos y a la labor preventiva en relación con el consumo de drogas (valores, normas, tradiciones, modos de hacer), así como del estado actual y los resultados de dicha labor en la institución y; 1.2.2.4. </w:t>
      </w:r>
      <w:r w:rsidR="00903062">
        <w:rPr>
          <w:rFonts w:eastAsia="Times New Roman" w:cs="Calibri"/>
          <w:bCs/>
          <w:sz w:val="24"/>
          <w:szCs w:val="24"/>
          <w:lang w:val="es-ES" w:eastAsia="es-MX"/>
        </w:rPr>
        <w:t xml:space="preserve">determinación </w:t>
      </w:r>
      <w:r>
        <w:rPr>
          <w:rFonts w:eastAsia="Times New Roman" w:cs="Calibri"/>
          <w:bCs/>
          <w:sz w:val="24"/>
          <w:szCs w:val="24"/>
          <w:lang w:val="es-ES" w:eastAsia="es-MX"/>
        </w:rPr>
        <w:t>de fortalezas, debilidades, amenazas y oportunidades que pueden facilitar o dificultar la labor preventiva en relación con el consumo de drogas en la institución educativa</w:t>
      </w:r>
      <w:r w:rsidR="00903062">
        <w:rPr>
          <w:rFonts w:eastAsia="Times New Roman" w:cs="Calibri"/>
          <w:bCs/>
          <w:sz w:val="24"/>
          <w:szCs w:val="24"/>
          <w:lang w:val="es-ES" w:eastAsia="es-MX"/>
        </w:rPr>
        <w:t>.</w:t>
      </w:r>
      <w:r>
        <w:rPr>
          <w:rFonts w:eastAsia="Times New Roman" w:cs="Calibri"/>
          <w:bCs/>
          <w:sz w:val="24"/>
          <w:szCs w:val="24"/>
          <w:lang w:val="es-ES" w:eastAsia="es-MX"/>
        </w:rPr>
        <w:t xml:space="preserve"> </w:t>
      </w:r>
    </w:p>
    <w:p w14:paraId="0EE2B11D" w14:textId="529F77AC" w:rsidR="00D616D0" w:rsidRDefault="00785CDA">
      <w:pPr>
        <w:pStyle w:val="Prrafodelista"/>
        <w:widowControl/>
        <w:numPr>
          <w:ilvl w:val="0"/>
          <w:numId w:val="20"/>
        </w:numPr>
        <w:spacing w:after="120" w:line="259" w:lineRule="auto"/>
        <w:jc w:val="both"/>
        <w:rPr>
          <w:rFonts w:eastAsia="Times New Roman" w:cs="Calibri"/>
          <w:sz w:val="24"/>
          <w:szCs w:val="24"/>
          <w:lang w:val="es-ES" w:eastAsia="es-MX"/>
        </w:rPr>
      </w:pPr>
      <w:r>
        <w:rPr>
          <w:rFonts w:eastAsia="Times New Roman" w:cs="Calibri"/>
          <w:bCs/>
          <w:sz w:val="24"/>
          <w:szCs w:val="24"/>
          <w:lang w:val="es-ES" w:eastAsia="es-MX"/>
        </w:rPr>
        <w:t xml:space="preserve">Acción 1.2.3. Definición de los criterios para riesgos que servirán de base a la toma de decisiones durante las etapas siguientes del proceso de gestión de la labor preventiva en relación con el consumo de drogas en la institución educativa, lo que implica: 1.2.3.1. </w:t>
      </w:r>
      <w:r w:rsidR="00903062">
        <w:rPr>
          <w:rFonts w:eastAsia="Times New Roman" w:cs="Calibri"/>
          <w:bCs/>
          <w:sz w:val="24"/>
          <w:szCs w:val="24"/>
          <w:lang w:val="es-ES" w:eastAsia="es-MX"/>
        </w:rPr>
        <w:t xml:space="preserve">determinación </w:t>
      </w:r>
      <w:r>
        <w:rPr>
          <w:rFonts w:eastAsia="Times New Roman" w:cs="Calibri"/>
          <w:bCs/>
          <w:sz w:val="24"/>
          <w:szCs w:val="24"/>
          <w:lang w:val="es-ES" w:eastAsia="es-MX"/>
        </w:rPr>
        <w:t xml:space="preserve">de la cantidad y tipo de riesgos que se van a tomar; 1.2.3.2. </w:t>
      </w:r>
      <w:r w:rsidR="00903062">
        <w:rPr>
          <w:rFonts w:eastAsia="Times New Roman" w:cs="Calibri"/>
          <w:bCs/>
          <w:sz w:val="24"/>
          <w:szCs w:val="24"/>
          <w:lang w:val="es-ES" w:eastAsia="es-MX"/>
        </w:rPr>
        <w:t xml:space="preserve">definición </w:t>
      </w:r>
      <w:r>
        <w:rPr>
          <w:rFonts w:eastAsia="Times New Roman" w:cs="Calibri"/>
          <w:bCs/>
          <w:sz w:val="24"/>
          <w:szCs w:val="24"/>
          <w:lang w:val="es-ES" w:eastAsia="es-MX"/>
        </w:rPr>
        <w:t xml:space="preserve">de los criterios para evaluar la importancia de los riesgos que se identifiquen (impacto, probabilidad, nivel) y; 1.2.3.3. </w:t>
      </w:r>
      <w:r w:rsidR="00903062">
        <w:rPr>
          <w:rFonts w:eastAsia="Times New Roman" w:cs="Calibri"/>
          <w:bCs/>
          <w:sz w:val="24"/>
          <w:szCs w:val="24"/>
          <w:lang w:val="es-ES" w:eastAsia="es-MX"/>
        </w:rPr>
        <w:t xml:space="preserve">determinación </w:t>
      </w:r>
      <w:r>
        <w:rPr>
          <w:rFonts w:eastAsia="Times New Roman" w:cs="Calibri"/>
          <w:bCs/>
          <w:sz w:val="24"/>
          <w:szCs w:val="24"/>
          <w:lang w:val="es-ES" w:eastAsia="es-MX"/>
        </w:rPr>
        <w:t>de los criterios (opciones) a considerar para</w:t>
      </w:r>
      <w:r>
        <w:rPr>
          <w:rFonts w:cs="Calibri"/>
          <w:sz w:val="24"/>
          <w:szCs w:val="24"/>
          <w:lang w:val="es-ES"/>
        </w:rPr>
        <w:t xml:space="preserve"> </w:t>
      </w:r>
      <w:r>
        <w:rPr>
          <w:rFonts w:eastAsia="Times New Roman" w:cs="Calibri"/>
          <w:bCs/>
          <w:sz w:val="24"/>
          <w:szCs w:val="24"/>
          <w:lang w:val="es-ES" w:eastAsia="es-MX"/>
        </w:rPr>
        <w:t>el tratamiento de los riesgos evaluados</w:t>
      </w:r>
      <w:r w:rsidR="00903062">
        <w:rPr>
          <w:rFonts w:eastAsia="Times New Roman" w:cs="Calibri"/>
          <w:bCs/>
          <w:sz w:val="24"/>
          <w:szCs w:val="24"/>
          <w:lang w:val="es-ES" w:eastAsia="es-MX"/>
        </w:rPr>
        <w:t>.</w:t>
      </w:r>
    </w:p>
    <w:p w14:paraId="29B157F7" w14:textId="5C7F26E0" w:rsidR="00D616D0" w:rsidRDefault="00785CDA">
      <w:pPr>
        <w:pStyle w:val="Prrafodelista"/>
        <w:widowControl/>
        <w:numPr>
          <w:ilvl w:val="0"/>
          <w:numId w:val="20"/>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1.2.4. Comunicación y consulta a los distintos actores de la comunidad educativa, para escuchar y registrar sus opiniones sobre el alcance previsto para la labor preventiva, el contexto interno y externo establecido y los criterios adoptados para la toma de decisiones en las etapas siguientes del proceso. Al efecto, se realizarán encuentros de intercambio con el GTPI al que se convocarán los diferentes segmentos de la comunidad educativa, así como se utilizarán los espacios que ofrece el sistema de trabajo de la institución y sus organizaciones, u otras como las redes sociales</w:t>
      </w:r>
      <w:r w:rsidR="00903062">
        <w:rPr>
          <w:rFonts w:eastAsia="Times New Roman" w:cs="Calibri"/>
          <w:bCs/>
          <w:sz w:val="24"/>
          <w:szCs w:val="24"/>
          <w:lang w:val="es-ES" w:eastAsia="es-MX"/>
        </w:rPr>
        <w:t>.</w:t>
      </w:r>
    </w:p>
    <w:p w14:paraId="13885B93" w14:textId="7DFBF3D0" w:rsidR="00D616D0" w:rsidRDefault="00785CDA">
      <w:pPr>
        <w:pStyle w:val="Prrafodelista"/>
        <w:widowControl/>
        <w:numPr>
          <w:ilvl w:val="0"/>
          <w:numId w:val="20"/>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1.2.5. Análisis, valoración y aprobación de posibles modificaciones a realizar en los elementos consultados (alcance, contexto interno y externo, criterios para la toma decisiones) por el GTPI</w:t>
      </w:r>
      <w:r w:rsidR="00903062">
        <w:rPr>
          <w:rFonts w:eastAsia="Times New Roman" w:cs="Calibri"/>
          <w:bCs/>
          <w:sz w:val="24"/>
          <w:szCs w:val="24"/>
          <w:lang w:val="es-ES" w:eastAsia="es-MX"/>
        </w:rPr>
        <w:t>.</w:t>
      </w:r>
      <w:r>
        <w:rPr>
          <w:rFonts w:eastAsia="Times New Roman" w:cs="Calibri"/>
          <w:bCs/>
          <w:sz w:val="24"/>
          <w:szCs w:val="24"/>
          <w:lang w:val="es-ES" w:eastAsia="es-MX"/>
        </w:rPr>
        <w:t xml:space="preserve"> </w:t>
      </w:r>
    </w:p>
    <w:p w14:paraId="712DDCC2" w14:textId="77777777" w:rsidR="00D616D0" w:rsidRDefault="00785CDA">
      <w:pPr>
        <w:pStyle w:val="Prrafodelista"/>
        <w:widowControl/>
        <w:numPr>
          <w:ilvl w:val="0"/>
          <w:numId w:val="20"/>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 xml:space="preserve">1.2.6. Presentación y aprobación de la versión modificada del alcance, el contexto interno y externo y los criterios para riesgo adoptados, por el consejo de dirección institucional.  </w:t>
      </w:r>
    </w:p>
    <w:p w14:paraId="077AEDD3" w14:textId="77777777" w:rsidR="00D616D0" w:rsidRPr="0092646E" w:rsidRDefault="00785CDA">
      <w:pPr>
        <w:spacing w:after="120"/>
        <w:jc w:val="both"/>
        <w:rPr>
          <w:rFonts w:cs="Calibri"/>
          <w:i/>
          <w:sz w:val="24"/>
          <w:szCs w:val="24"/>
          <w:lang w:val="es-ES"/>
        </w:rPr>
      </w:pPr>
      <w:r w:rsidRPr="0092646E">
        <w:rPr>
          <w:rFonts w:cs="Calibri"/>
          <w:i/>
          <w:sz w:val="24"/>
          <w:szCs w:val="24"/>
          <w:lang w:val="es-ES"/>
        </w:rPr>
        <w:t xml:space="preserve">Etapa 2.  De evaluación de riesgos para </w:t>
      </w:r>
      <w:r w:rsidRPr="0092646E">
        <w:rPr>
          <w:rFonts w:eastAsia="Times New Roman" w:cs="Calibri"/>
          <w:i/>
          <w:sz w:val="24"/>
          <w:szCs w:val="24"/>
          <w:lang w:val="es-ES" w:eastAsia="es-MX"/>
        </w:rPr>
        <w:t>la labor preventiva en relación con el consumo de drogas en las secundarias básicas</w:t>
      </w:r>
    </w:p>
    <w:p w14:paraId="12026822" w14:textId="137DE196" w:rsidR="00D616D0" w:rsidRDefault="00785CDA">
      <w:pPr>
        <w:spacing w:after="120"/>
        <w:jc w:val="both"/>
        <w:rPr>
          <w:rFonts w:eastAsia="Times New Roman" w:cs="Calibri"/>
          <w:bCs/>
          <w:sz w:val="24"/>
          <w:szCs w:val="24"/>
          <w:lang w:val="es-ES" w:eastAsia="es-MX"/>
        </w:rPr>
      </w:pPr>
      <w:r>
        <w:rPr>
          <w:rFonts w:eastAsia="Times New Roman" w:cs="Calibri"/>
          <w:bCs/>
          <w:sz w:val="24"/>
          <w:szCs w:val="24"/>
          <w:lang w:val="es-ES" w:eastAsia="es-MX"/>
        </w:rPr>
        <w:t>La etapa tiene como objetivo la identificación, análisis, evaluación y tratamiento de los riesgos asociados al</w:t>
      </w:r>
      <w:r>
        <w:rPr>
          <w:rFonts w:eastAsia="Times New Roman" w:cs="Calibri"/>
          <w:b/>
          <w:sz w:val="24"/>
          <w:szCs w:val="24"/>
          <w:lang w:val="es-ES" w:eastAsia="es-MX"/>
        </w:rPr>
        <w:t xml:space="preserve"> </w:t>
      </w:r>
      <w:r>
        <w:rPr>
          <w:rFonts w:eastAsia="Times New Roman" w:cs="Calibri"/>
          <w:bCs/>
          <w:sz w:val="24"/>
          <w:szCs w:val="24"/>
          <w:lang w:val="es-ES" w:eastAsia="es-MX"/>
        </w:rPr>
        <w:t>consumo de drogas en las secundarias básicas</w:t>
      </w:r>
      <w:r>
        <w:rPr>
          <w:rFonts w:eastAsia="Times New Roman" w:cs="Calibri"/>
          <w:b/>
          <w:sz w:val="24"/>
          <w:szCs w:val="24"/>
          <w:lang w:val="es-ES" w:eastAsia="es-MX"/>
        </w:rPr>
        <w:t xml:space="preserve"> </w:t>
      </w:r>
      <w:r>
        <w:rPr>
          <w:rFonts w:eastAsia="Times New Roman" w:cs="Calibri"/>
          <w:bCs/>
          <w:sz w:val="24"/>
          <w:szCs w:val="24"/>
          <w:lang w:val="es-ES" w:eastAsia="es-MX"/>
        </w:rPr>
        <w:t xml:space="preserve">para eliminar o reducir al máximo </w:t>
      </w:r>
      <w:r>
        <w:rPr>
          <w:rFonts w:eastAsia="Times New Roman" w:cs="Calibri"/>
          <w:bCs/>
          <w:sz w:val="24"/>
          <w:szCs w:val="24"/>
          <w:lang w:val="es-ES" w:eastAsia="es-MX"/>
        </w:rPr>
        <w:lastRenderedPageBreak/>
        <w:t xml:space="preserve">posible su efecto en los educandos. Comprende tres fases referidas a la identificación, </w:t>
      </w:r>
      <w:r>
        <w:rPr>
          <w:rFonts w:cs="Calibri"/>
          <w:bCs/>
          <w:sz w:val="24"/>
          <w:szCs w:val="24"/>
          <w:lang w:val="es-ES"/>
        </w:rPr>
        <w:t xml:space="preserve">el análisis y valoración de riesgos </w:t>
      </w:r>
      <w:r>
        <w:rPr>
          <w:rFonts w:eastAsia="Times New Roman" w:cs="Calibri"/>
          <w:bCs/>
          <w:sz w:val="24"/>
          <w:szCs w:val="24"/>
          <w:lang w:val="es-ES" w:eastAsia="es-MX"/>
        </w:rPr>
        <w:t>y el tratamiento de los riesgos identificados y evaluados, que se operacionalizan en 9 acciones.</w:t>
      </w:r>
    </w:p>
    <w:p w14:paraId="0161A7D6" w14:textId="77777777" w:rsidR="00D616D0" w:rsidRPr="0092646E" w:rsidRDefault="00785CDA">
      <w:pPr>
        <w:spacing w:after="120"/>
        <w:jc w:val="both"/>
        <w:rPr>
          <w:rFonts w:cs="Calibri"/>
          <w:i/>
          <w:sz w:val="24"/>
          <w:szCs w:val="24"/>
          <w:lang w:val="es-ES"/>
        </w:rPr>
      </w:pPr>
      <w:r w:rsidRPr="0092646E">
        <w:rPr>
          <w:rFonts w:cs="Calibri"/>
          <w:i/>
          <w:sz w:val="24"/>
          <w:szCs w:val="24"/>
          <w:lang w:val="es-ES"/>
        </w:rPr>
        <w:t>Fase 2.1. De identificación de riesgos</w:t>
      </w:r>
      <w:r w:rsidRPr="0092646E">
        <w:rPr>
          <w:rFonts w:eastAsia="Times New Roman" w:cs="Calibri"/>
          <w:i/>
          <w:sz w:val="24"/>
          <w:szCs w:val="24"/>
          <w:lang w:val="es-ES" w:eastAsia="es-MX"/>
        </w:rPr>
        <w:t xml:space="preserve"> asociados al consumo de drogas en las secundarias básicas</w:t>
      </w:r>
    </w:p>
    <w:p w14:paraId="1A707B29" w14:textId="77D59CE2" w:rsidR="00D616D0" w:rsidRDefault="00785CDA">
      <w:pPr>
        <w:spacing w:after="120"/>
        <w:jc w:val="both"/>
        <w:rPr>
          <w:rFonts w:eastAsia="Times New Roman" w:cs="Calibri"/>
          <w:bCs/>
          <w:sz w:val="24"/>
          <w:szCs w:val="24"/>
          <w:lang w:val="es-ES" w:eastAsia="es-MX"/>
        </w:rPr>
      </w:pPr>
      <w:r>
        <w:rPr>
          <w:rFonts w:eastAsia="Times New Roman" w:cs="Calibri"/>
          <w:bCs/>
          <w:sz w:val="24"/>
          <w:szCs w:val="24"/>
          <w:lang w:val="es-ES" w:eastAsia="es-MX"/>
        </w:rPr>
        <w:t>Esta fase tiene como objetivo reconocer y describir los riesgos que pueden inducir a los educandos de secundarias básicas al consumo de drogas, con el propósito de analizarlos, evaluarlos y tratarlos, a fin de facilitar la implementación de acciones que propicien la eliminación o la reducción d</w:t>
      </w:r>
      <w:r w:rsidR="0092646E">
        <w:rPr>
          <w:rFonts w:eastAsia="Times New Roman" w:cs="Calibri"/>
          <w:bCs/>
          <w:sz w:val="24"/>
          <w:szCs w:val="24"/>
          <w:lang w:val="es-ES" w:eastAsia="es-MX"/>
        </w:rPr>
        <w:t xml:space="preserve">e su efecto al máximo posible. </w:t>
      </w:r>
      <w:r>
        <w:rPr>
          <w:rFonts w:eastAsia="Times New Roman" w:cs="Calibri"/>
          <w:bCs/>
          <w:sz w:val="24"/>
          <w:szCs w:val="24"/>
          <w:lang w:val="es-ES" w:eastAsia="es-MX"/>
        </w:rPr>
        <w:t xml:space="preserve">En consecuencia, incluye la realización de las acciones siguientes: </w:t>
      </w:r>
    </w:p>
    <w:p w14:paraId="68319322" w14:textId="0607E779" w:rsidR="00D616D0" w:rsidRDefault="00785CDA">
      <w:pPr>
        <w:pStyle w:val="Prrafodelista"/>
        <w:widowControl/>
        <w:numPr>
          <w:ilvl w:val="0"/>
          <w:numId w:val="19"/>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 xml:space="preserve">Acción </w:t>
      </w:r>
      <w:r>
        <w:rPr>
          <w:rFonts w:cs="Calibri"/>
          <w:bCs/>
          <w:sz w:val="24"/>
          <w:szCs w:val="24"/>
          <w:lang w:val="es-ES"/>
        </w:rPr>
        <w:t xml:space="preserve">2.1.1. Revisión y análisis de fuentes portadoras de información referencial para reconocer posibles riesgos </w:t>
      </w:r>
      <w:r>
        <w:rPr>
          <w:rFonts w:eastAsia="Times New Roman" w:cs="Calibri"/>
          <w:bCs/>
          <w:sz w:val="24"/>
          <w:szCs w:val="24"/>
          <w:lang w:val="es-ES" w:eastAsia="es-MX"/>
        </w:rPr>
        <w:t>que pueden inducir a los adolescentes de secundaria básica al consumo de drogas, entre las que se precisan: a) el diagnóstico actualizado de la institución educativa (acción 1.2.2); b) documentos normativos y metodológicos; c) publicaciones contentivas de resultados de investigaciones enmarcadas en el objeto; d) información de sitios web especializados, entre otros</w:t>
      </w:r>
      <w:r w:rsidR="0092646E">
        <w:rPr>
          <w:rFonts w:eastAsia="Times New Roman" w:cs="Calibri"/>
          <w:bCs/>
          <w:sz w:val="24"/>
          <w:szCs w:val="24"/>
          <w:lang w:val="es-ES" w:eastAsia="es-MX"/>
        </w:rPr>
        <w:t>.</w:t>
      </w:r>
      <w:r>
        <w:rPr>
          <w:rFonts w:eastAsia="Times New Roman" w:cs="Calibri"/>
          <w:bCs/>
          <w:sz w:val="24"/>
          <w:szCs w:val="24"/>
          <w:lang w:val="es-ES" w:eastAsia="es-MX"/>
        </w:rPr>
        <w:t xml:space="preserve"> </w:t>
      </w:r>
    </w:p>
    <w:p w14:paraId="50E67061" w14:textId="5BBFD716" w:rsidR="00D616D0" w:rsidRDefault="00785CDA">
      <w:pPr>
        <w:pStyle w:val="Prrafodelista"/>
        <w:widowControl/>
        <w:numPr>
          <w:ilvl w:val="0"/>
          <w:numId w:val="19"/>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2.1.2.</w:t>
      </w:r>
      <w:r>
        <w:rPr>
          <w:rFonts w:cs="Calibri"/>
          <w:bCs/>
          <w:sz w:val="24"/>
          <w:szCs w:val="24"/>
          <w:lang w:val="es-ES"/>
        </w:rPr>
        <w:t xml:space="preserve"> Determinación de un inventario preliminar de riesgos</w:t>
      </w:r>
      <w:r>
        <w:rPr>
          <w:rFonts w:eastAsia="Times New Roman" w:cs="Calibri"/>
          <w:bCs/>
          <w:sz w:val="24"/>
          <w:szCs w:val="24"/>
          <w:lang w:val="es-ES" w:eastAsia="es-MX"/>
        </w:rPr>
        <w:t xml:space="preserve"> que pueden inducir a los educandos de secundaria básica al consumo de drogas</w:t>
      </w:r>
      <w:r>
        <w:rPr>
          <w:rFonts w:cs="Calibri"/>
          <w:bCs/>
          <w:sz w:val="24"/>
          <w:szCs w:val="24"/>
          <w:lang w:val="es-ES"/>
        </w:rPr>
        <w:t>, a partir de la información derivada de las fuentes portadoras an</w:t>
      </w:r>
      <w:r w:rsidR="0092646E">
        <w:rPr>
          <w:rFonts w:cs="Calibri"/>
          <w:bCs/>
          <w:sz w:val="24"/>
          <w:szCs w:val="24"/>
          <w:lang w:val="es-ES"/>
        </w:rPr>
        <w:t>alizadas en la acción anterior.</w:t>
      </w:r>
      <w:r>
        <w:rPr>
          <w:rFonts w:cs="Calibri"/>
          <w:bCs/>
          <w:sz w:val="24"/>
          <w:szCs w:val="24"/>
          <w:lang w:val="es-ES"/>
        </w:rPr>
        <w:t xml:space="preserve"> Ambas</w:t>
      </w:r>
      <w:r>
        <w:rPr>
          <w:rFonts w:eastAsia="Times New Roman" w:cs="Calibri"/>
          <w:bCs/>
          <w:sz w:val="24"/>
          <w:szCs w:val="24"/>
          <w:lang w:val="es-ES" w:eastAsia="es-MX"/>
        </w:rPr>
        <w:t xml:space="preserve"> acciones se desarrollarán en sesiones del GTPI que se ampliará con invitados en capacidad de aportar al cumplimento de sus objetivos. Para optimizar la dinámica grupal, en la acción 2.1.2, se emplearán técnicas de generación de ideas, de obtención de consenso y de organización de ideas</w:t>
      </w:r>
      <w:r w:rsidR="0092646E">
        <w:rPr>
          <w:rFonts w:eastAsia="Times New Roman" w:cs="Calibri"/>
          <w:bCs/>
          <w:sz w:val="24"/>
          <w:szCs w:val="24"/>
          <w:lang w:val="es-ES" w:eastAsia="es-MX"/>
        </w:rPr>
        <w:t>.</w:t>
      </w:r>
    </w:p>
    <w:p w14:paraId="3372267C" w14:textId="1C2D8716" w:rsidR="00D616D0" w:rsidRDefault="00785CDA">
      <w:pPr>
        <w:pStyle w:val="Prrafodelista"/>
        <w:widowControl/>
        <w:numPr>
          <w:ilvl w:val="0"/>
          <w:numId w:val="19"/>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2.1.3, de comunicación y consulta a los distintos actores de la comunidad educativa, para escuchar y registrar sus criterios sobre el inventario preliminar de riesgos elaborado. Para esta acción se convocarán encuentros abiertos del GTPI con los diferentes segmentos de la comunidad educativa, así como se utilizarán los espacios que ofrece el sistema de trabajo de la institución y sus organizaciones, u otras vías como las redes sociales</w:t>
      </w:r>
      <w:r w:rsidR="0092646E">
        <w:rPr>
          <w:rFonts w:eastAsia="Times New Roman" w:cs="Calibri"/>
          <w:bCs/>
          <w:sz w:val="24"/>
          <w:szCs w:val="24"/>
          <w:lang w:val="es-ES" w:eastAsia="es-MX"/>
        </w:rPr>
        <w:t>.</w:t>
      </w:r>
      <w:r>
        <w:rPr>
          <w:rFonts w:eastAsia="Times New Roman" w:cs="Calibri"/>
          <w:bCs/>
          <w:sz w:val="24"/>
          <w:szCs w:val="24"/>
          <w:lang w:val="es-ES" w:eastAsia="es-MX"/>
        </w:rPr>
        <w:t xml:space="preserve"> </w:t>
      </w:r>
    </w:p>
    <w:p w14:paraId="3D3B3671" w14:textId="77777777" w:rsidR="00D616D0" w:rsidRDefault="00785CDA">
      <w:pPr>
        <w:pStyle w:val="Prrafodelista"/>
        <w:widowControl/>
        <w:numPr>
          <w:ilvl w:val="0"/>
          <w:numId w:val="19"/>
        </w:numPr>
        <w:spacing w:after="120" w:line="259" w:lineRule="auto"/>
        <w:jc w:val="both"/>
        <w:rPr>
          <w:rFonts w:eastAsia="Times New Roman" w:cs="Calibri"/>
          <w:b/>
          <w:sz w:val="24"/>
          <w:szCs w:val="24"/>
          <w:lang w:val="es-ES" w:eastAsia="es-MX"/>
        </w:rPr>
      </w:pPr>
      <w:r>
        <w:rPr>
          <w:rFonts w:eastAsia="Times New Roman" w:cs="Calibri"/>
          <w:bCs/>
          <w:sz w:val="24"/>
          <w:szCs w:val="24"/>
          <w:lang w:val="es-ES" w:eastAsia="es-MX"/>
        </w:rPr>
        <w:t>Acción 2.1.4, de análisis y valoración de posibles modificaciones a realizar al inventario preliminar sometido a consulta y aprobación del inventario definitivo</w:t>
      </w:r>
      <w:r>
        <w:rPr>
          <w:rFonts w:eastAsia="Times New Roman" w:cs="Calibri"/>
          <w:b/>
          <w:sz w:val="24"/>
          <w:szCs w:val="24"/>
          <w:lang w:val="es-ES" w:eastAsia="es-MX"/>
        </w:rPr>
        <w:t xml:space="preserve"> </w:t>
      </w:r>
      <w:r>
        <w:rPr>
          <w:rFonts w:eastAsia="Times New Roman" w:cs="Calibri"/>
          <w:bCs/>
          <w:sz w:val="24"/>
          <w:szCs w:val="24"/>
          <w:lang w:val="es-ES" w:eastAsia="es-MX"/>
        </w:rPr>
        <w:t>por el GTPI, con la presencia del consejo de dirección de la institución educativa.</w:t>
      </w:r>
      <w:r>
        <w:rPr>
          <w:rFonts w:eastAsia="Times New Roman" w:cs="Calibri"/>
          <w:b/>
          <w:sz w:val="24"/>
          <w:szCs w:val="24"/>
          <w:lang w:val="es-ES" w:eastAsia="es-MX"/>
        </w:rPr>
        <w:t xml:space="preserve"> </w:t>
      </w:r>
    </w:p>
    <w:p w14:paraId="23A46D43" w14:textId="77777777" w:rsidR="00D616D0" w:rsidRPr="0092646E" w:rsidRDefault="00785CDA">
      <w:pPr>
        <w:spacing w:after="120"/>
        <w:jc w:val="both"/>
        <w:rPr>
          <w:rFonts w:cs="Calibri"/>
          <w:i/>
          <w:sz w:val="24"/>
          <w:szCs w:val="24"/>
          <w:lang w:val="es-ES"/>
        </w:rPr>
      </w:pPr>
      <w:r w:rsidRPr="0092646E">
        <w:rPr>
          <w:rFonts w:cs="Calibri"/>
          <w:i/>
          <w:sz w:val="24"/>
          <w:szCs w:val="24"/>
          <w:lang w:val="es-ES"/>
        </w:rPr>
        <w:t xml:space="preserve">Fase 2.2. De análisis y valoración de riesgos </w:t>
      </w:r>
      <w:r w:rsidRPr="0092646E">
        <w:rPr>
          <w:rFonts w:eastAsia="Times New Roman" w:cs="Calibri"/>
          <w:i/>
          <w:sz w:val="24"/>
          <w:szCs w:val="24"/>
          <w:lang w:val="es-ES" w:eastAsia="es-MX"/>
        </w:rPr>
        <w:t>asociados al consumo de drogas en las secundarias básicas</w:t>
      </w:r>
    </w:p>
    <w:p w14:paraId="76005F81" w14:textId="275FA49F" w:rsidR="00D616D0" w:rsidRDefault="0092646E">
      <w:pPr>
        <w:spacing w:after="120"/>
        <w:jc w:val="both"/>
        <w:rPr>
          <w:rFonts w:cs="Calibri"/>
          <w:bCs/>
          <w:sz w:val="24"/>
          <w:szCs w:val="24"/>
          <w:lang w:val="es-ES"/>
        </w:rPr>
      </w:pPr>
      <w:r>
        <w:rPr>
          <w:rFonts w:cs="Calibri"/>
          <w:bCs/>
          <w:sz w:val="24"/>
          <w:szCs w:val="24"/>
          <w:lang w:val="es-ES"/>
        </w:rPr>
        <w:t>Tiene como objetivo: c</w:t>
      </w:r>
      <w:r w:rsidR="00785CDA">
        <w:rPr>
          <w:rFonts w:cs="Calibri"/>
          <w:bCs/>
          <w:sz w:val="24"/>
          <w:szCs w:val="24"/>
          <w:lang w:val="es-ES"/>
        </w:rPr>
        <w:t xml:space="preserve">omprender la naturaleza, caracterizar y clasificar los riesgos (nivel) identificados considerando sus fuentes, consecuencias, la probabilidad de ocurrencia, la posibilidad de su control y sus efectos, entre otros factores de relevancia, que se concreta mediante las acciones que se enuncian a continuación: </w:t>
      </w:r>
    </w:p>
    <w:p w14:paraId="075CD29A" w14:textId="25AE96C3" w:rsidR="00D616D0" w:rsidRDefault="00785CDA">
      <w:pPr>
        <w:pStyle w:val="Prrafodelista"/>
        <w:widowControl/>
        <w:numPr>
          <w:ilvl w:val="0"/>
          <w:numId w:val="18"/>
        </w:numPr>
        <w:spacing w:after="120" w:line="259" w:lineRule="auto"/>
        <w:jc w:val="both"/>
        <w:rPr>
          <w:rFonts w:eastAsia="Times New Roman" w:cs="Calibri"/>
          <w:bCs/>
          <w:sz w:val="24"/>
          <w:szCs w:val="24"/>
          <w:lang w:val="es-ES" w:eastAsia="es-MX"/>
        </w:rPr>
      </w:pPr>
      <w:r>
        <w:rPr>
          <w:rFonts w:cs="Calibri"/>
          <w:sz w:val="24"/>
          <w:szCs w:val="24"/>
          <w:lang w:val="es-ES"/>
        </w:rPr>
        <w:lastRenderedPageBreak/>
        <w:t>Acción 2.2</w:t>
      </w:r>
      <w:r>
        <w:rPr>
          <w:rFonts w:cs="Calibri"/>
          <w:bCs/>
          <w:sz w:val="24"/>
          <w:szCs w:val="24"/>
          <w:lang w:val="es-ES"/>
        </w:rPr>
        <w:t xml:space="preserve">.1. Determinación de la probabilidad (frecuencia de ocurrencia) y el impacto (consecuencia) de cada riesgo identificado. La probabilidad del riesgo se evaluará a partir de una escala con cinco categorías: Muy Alta (5), Alta (4), Moderada (3), Baja (2) y Muy Baja (1). Por su parte, la valoración del impacto del riesgo se hará, igualmente, sobre una escala conformada por cinco categorías (Vega, 2017, como se citó en </w:t>
      </w:r>
      <w:proofErr w:type="spellStart"/>
      <w:r>
        <w:rPr>
          <w:rFonts w:cs="Calibri"/>
          <w:bCs/>
          <w:sz w:val="24"/>
          <w:szCs w:val="24"/>
          <w:lang w:val="es-ES"/>
        </w:rPr>
        <w:t>Ceregido</w:t>
      </w:r>
      <w:proofErr w:type="spellEnd"/>
      <w:r>
        <w:rPr>
          <w:rFonts w:cs="Calibri"/>
          <w:bCs/>
          <w:sz w:val="24"/>
          <w:szCs w:val="24"/>
          <w:lang w:val="es-ES"/>
        </w:rPr>
        <w:t xml:space="preserve">-Reyes </w:t>
      </w:r>
      <w:r w:rsidRPr="0092646E">
        <w:rPr>
          <w:rFonts w:cs="Calibri"/>
          <w:bCs/>
          <w:i/>
          <w:sz w:val="24"/>
          <w:szCs w:val="24"/>
          <w:lang w:val="es-ES"/>
        </w:rPr>
        <w:t>et al</w:t>
      </w:r>
      <w:r>
        <w:rPr>
          <w:rFonts w:cs="Calibri"/>
          <w:bCs/>
          <w:sz w:val="24"/>
          <w:szCs w:val="24"/>
          <w:lang w:val="es-ES"/>
        </w:rPr>
        <w:t xml:space="preserve">., 2020): Catastrófico (5), Grave (4), Moderado (3), Leve (2) e Insignificante (1). </w:t>
      </w:r>
      <w:r>
        <w:rPr>
          <w:rFonts w:eastAsia="Times New Roman" w:cs="Calibri"/>
          <w:bCs/>
          <w:sz w:val="24"/>
          <w:szCs w:val="24"/>
          <w:lang w:val="es-ES" w:eastAsia="es-MX"/>
        </w:rPr>
        <w:t>La acción se desarrollará, igualmente, en sesión del GTPI que se ampliará con invitados en capacidad de aportar al cumplimento de su objetivo. Para optimizar la dinámica grupal se emplearán técnicas de generación de ideas, de obtención de consenso (reducción de listado) y de organización de ideas</w:t>
      </w:r>
      <w:r w:rsidR="0092646E">
        <w:rPr>
          <w:rFonts w:eastAsia="Times New Roman" w:cs="Calibri"/>
          <w:bCs/>
          <w:sz w:val="24"/>
          <w:szCs w:val="24"/>
          <w:lang w:val="es-ES" w:eastAsia="es-MX"/>
        </w:rPr>
        <w:t>.</w:t>
      </w:r>
    </w:p>
    <w:p w14:paraId="0F07FF71" w14:textId="77777777" w:rsidR="00D616D0" w:rsidRDefault="00785CDA">
      <w:pPr>
        <w:pStyle w:val="Prrafodelista"/>
        <w:widowControl/>
        <w:numPr>
          <w:ilvl w:val="0"/>
          <w:numId w:val="18"/>
        </w:numPr>
        <w:spacing w:after="120" w:line="259" w:lineRule="auto"/>
        <w:jc w:val="both"/>
        <w:rPr>
          <w:rFonts w:cs="Calibri"/>
          <w:bCs/>
          <w:sz w:val="24"/>
          <w:szCs w:val="24"/>
          <w:lang w:val="es-ES"/>
        </w:rPr>
      </w:pPr>
      <w:r>
        <w:rPr>
          <w:rFonts w:cs="Calibri"/>
          <w:bCs/>
          <w:sz w:val="24"/>
          <w:szCs w:val="24"/>
          <w:lang w:val="es-ES"/>
        </w:rPr>
        <w:t xml:space="preserve">Acción 2.2.2. Determinación de la prioridad (clasificación del nivel del riesgo) de cada riesgo identificado. Se aplicará la </w:t>
      </w:r>
      <w:r w:rsidRPr="0092646E">
        <w:rPr>
          <w:rFonts w:cs="Calibri"/>
          <w:sz w:val="24"/>
          <w:szCs w:val="24"/>
          <w:lang w:val="es-ES"/>
        </w:rPr>
        <w:t>fórmula</w:t>
      </w:r>
      <w:r>
        <w:rPr>
          <w:rFonts w:cs="Calibri"/>
          <w:bCs/>
          <w:sz w:val="24"/>
          <w:szCs w:val="24"/>
          <w:lang w:val="es-ES"/>
        </w:rPr>
        <w:t xml:space="preserve"> </w:t>
      </w:r>
      <w:r w:rsidRPr="0092646E">
        <w:rPr>
          <w:rFonts w:cs="Calibri"/>
          <w:i/>
          <w:sz w:val="24"/>
          <w:szCs w:val="24"/>
          <w:lang w:val="es-ES"/>
        </w:rPr>
        <w:t>R = P × I</w:t>
      </w:r>
      <w:r>
        <w:rPr>
          <w:rFonts w:cs="Calibri"/>
          <w:bCs/>
          <w:sz w:val="24"/>
          <w:szCs w:val="24"/>
          <w:lang w:val="es-ES"/>
        </w:rPr>
        <w:t xml:space="preserve"> donde: </w:t>
      </w:r>
      <w:r w:rsidRPr="0092646E">
        <w:rPr>
          <w:rFonts w:cs="Calibri"/>
          <w:bCs/>
          <w:sz w:val="24"/>
          <w:szCs w:val="24"/>
          <w:lang w:val="es-ES"/>
        </w:rPr>
        <w:t>(</w:t>
      </w:r>
      <w:r w:rsidRPr="0092646E">
        <w:rPr>
          <w:rFonts w:cs="Calibri"/>
          <w:i/>
          <w:sz w:val="24"/>
          <w:szCs w:val="24"/>
          <w:lang w:val="es-ES"/>
        </w:rPr>
        <w:t>R</w:t>
      </w:r>
      <w:r w:rsidRPr="0092646E">
        <w:rPr>
          <w:rFonts w:cs="Calibri"/>
          <w:sz w:val="24"/>
          <w:szCs w:val="24"/>
          <w:lang w:val="es-ES"/>
        </w:rPr>
        <w:t>)</w:t>
      </w:r>
      <w:r>
        <w:rPr>
          <w:rFonts w:cs="Calibri"/>
          <w:bCs/>
          <w:sz w:val="24"/>
          <w:szCs w:val="24"/>
          <w:lang w:val="es-ES"/>
        </w:rPr>
        <w:t xml:space="preserve"> es la prioridad (nivel) del riesgo, </w:t>
      </w:r>
      <w:r w:rsidRPr="0092646E">
        <w:rPr>
          <w:rFonts w:cs="Calibri"/>
          <w:bCs/>
          <w:sz w:val="24"/>
          <w:szCs w:val="24"/>
          <w:lang w:val="es-ES"/>
        </w:rPr>
        <w:t>(</w:t>
      </w:r>
      <w:r w:rsidRPr="0092646E">
        <w:rPr>
          <w:rFonts w:cs="Calibri"/>
          <w:i/>
          <w:sz w:val="24"/>
          <w:szCs w:val="24"/>
          <w:lang w:val="es-ES"/>
        </w:rPr>
        <w:t>P</w:t>
      </w:r>
      <w:r w:rsidRPr="0092646E">
        <w:rPr>
          <w:rFonts w:cs="Calibri"/>
          <w:sz w:val="24"/>
          <w:szCs w:val="24"/>
          <w:lang w:val="es-ES"/>
        </w:rPr>
        <w:t>)</w:t>
      </w:r>
      <w:r>
        <w:rPr>
          <w:rFonts w:cs="Calibri"/>
          <w:bCs/>
          <w:sz w:val="24"/>
          <w:szCs w:val="24"/>
          <w:lang w:val="es-ES"/>
        </w:rPr>
        <w:t xml:space="preserve"> es la probabilidad de ocurrencia e </w:t>
      </w:r>
      <w:r w:rsidRPr="0092646E">
        <w:rPr>
          <w:rFonts w:cs="Calibri"/>
          <w:bCs/>
          <w:sz w:val="24"/>
          <w:szCs w:val="24"/>
          <w:lang w:val="es-ES"/>
        </w:rPr>
        <w:t>(</w:t>
      </w:r>
      <w:r w:rsidRPr="0092646E">
        <w:rPr>
          <w:rFonts w:cs="Calibri"/>
          <w:i/>
          <w:sz w:val="24"/>
          <w:szCs w:val="24"/>
          <w:lang w:val="es-ES"/>
        </w:rPr>
        <w:t>I</w:t>
      </w:r>
      <w:r w:rsidRPr="0092646E">
        <w:rPr>
          <w:rFonts w:cs="Calibri"/>
          <w:sz w:val="24"/>
          <w:szCs w:val="24"/>
          <w:lang w:val="es-ES"/>
        </w:rPr>
        <w:t>)</w:t>
      </w:r>
      <w:r>
        <w:rPr>
          <w:rFonts w:cs="Calibri"/>
          <w:bCs/>
          <w:sz w:val="24"/>
          <w:szCs w:val="24"/>
          <w:lang w:val="es-ES"/>
        </w:rPr>
        <w:t xml:space="preserve"> es el impacto que puede ocasionar su materialización (Calzada y De León 2010, como se citó en </w:t>
      </w:r>
      <w:proofErr w:type="spellStart"/>
      <w:r>
        <w:rPr>
          <w:rFonts w:cs="Calibri"/>
          <w:bCs/>
          <w:sz w:val="24"/>
          <w:szCs w:val="24"/>
          <w:lang w:val="es-ES"/>
        </w:rPr>
        <w:t>Ceregido</w:t>
      </w:r>
      <w:proofErr w:type="spellEnd"/>
      <w:r>
        <w:rPr>
          <w:rFonts w:cs="Calibri"/>
          <w:bCs/>
          <w:sz w:val="24"/>
          <w:szCs w:val="24"/>
          <w:lang w:val="es-ES"/>
        </w:rPr>
        <w:t xml:space="preserve">-Reyes </w:t>
      </w:r>
      <w:r w:rsidRPr="0092646E">
        <w:rPr>
          <w:rFonts w:cs="Calibri"/>
          <w:bCs/>
          <w:i/>
          <w:sz w:val="24"/>
          <w:szCs w:val="24"/>
          <w:lang w:val="es-ES"/>
        </w:rPr>
        <w:t>et al</w:t>
      </w:r>
      <w:r>
        <w:rPr>
          <w:rFonts w:cs="Calibri"/>
          <w:bCs/>
          <w:sz w:val="24"/>
          <w:szCs w:val="24"/>
          <w:lang w:val="es-ES"/>
        </w:rPr>
        <w:t xml:space="preserve">., 2020). El valor obtenido (entre 1 y 25) se clasificará utilizando una escala de tres categorías: elevado, moderado, reducido (Vega, 2017, como se citó en </w:t>
      </w:r>
      <w:proofErr w:type="spellStart"/>
      <w:r>
        <w:rPr>
          <w:rFonts w:cs="Calibri"/>
          <w:bCs/>
          <w:sz w:val="24"/>
          <w:szCs w:val="24"/>
          <w:lang w:val="es-ES"/>
        </w:rPr>
        <w:t>Ceregido</w:t>
      </w:r>
      <w:proofErr w:type="spellEnd"/>
      <w:r>
        <w:rPr>
          <w:rFonts w:cs="Calibri"/>
          <w:bCs/>
          <w:sz w:val="24"/>
          <w:szCs w:val="24"/>
          <w:lang w:val="es-ES"/>
        </w:rPr>
        <w:t xml:space="preserve">-Reyes </w:t>
      </w:r>
      <w:r w:rsidRPr="0092646E">
        <w:rPr>
          <w:rFonts w:cs="Calibri"/>
          <w:bCs/>
          <w:i/>
          <w:sz w:val="24"/>
          <w:szCs w:val="24"/>
          <w:lang w:val="es-ES"/>
        </w:rPr>
        <w:t>et al</w:t>
      </w:r>
      <w:r>
        <w:rPr>
          <w:rFonts w:cs="Calibri"/>
          <w:bCs/>
          <w:sz w:val="24"/>
          <w:szCs w:val="24"/>
          <w:lang w:val="es-ES"/>
        </w:rPr>
        <w:t>., 2020). Se elaborará un mapa de riesgo en el que las celdas (25) tendrán tres colores diferentes para diferenciar el nivel de riesgo: rojo (riesgo elevado), amarillo (riesgo moderado) y verde (riesgo reducido) y los valores que se corresponden con dichos niveles. En cada celda se ubicarán los riesgos de acuerdo al valor numérico obtenido a partir de la aplicación de la fórmula usada para determinar su prioridad (nivel del riesgo).</w:t>
      </w:r>
    </w:p>
    <w:p w14:paraId="40DF4CF2" w14:textId="77777777" w:rsidR="00D616D0" w:rsidRPr="0092646E" w:rsidRDefault="00785CDA">
      <w:pPr>
        <w:spacing w:after="120"/>
        <w:jc w:val="both"/>
        <w:rPr>
          <w:rFonts w:cs="Calibri"/>
          <w:i/>
          <w:sz w:val="24"/>
          <w:szCs w:val="24"/>
          <w:lang w:val="es-ES"/>
        </w:rPr>
      </w:pPr>
      <w:r w:rsidRPr="0092646E">
        <w:rPr>
          <w:rFonts w:cs="Calibri"/>
          <w:i/>
          <w:sz w:val="24"/>
          <w:szCs w:val="24"/>
          <w:lang w:val="es-ES"/>
        </w:rPr>
        <w:t xml:space="preserve">Fase 2.3. De tratamiento de riesgos </w:t>
      </w:r>
      <w:r w:rsidRPr="0092646E">
        <w:rPr>
          <w:rFonts w:eastAsia="Times New Roman" w:cs="Calibri"/>
          <w:i/>
          <w:sz w:val="24"/>
          <w:szCs w:val="24"/>
          <w:lang w:val="es-ES" w:eastAsia="es-MX"/>
        </w:rPr>
        <w:t>asociados al consumo de drogas en las secundarias básicas</w:t>
      </w:r>
    </w:p>
    <w:p w14:paraId="5197B0E9" w14:textId="77777777" w:rsidR="00D616D0" w:rsidRDefault="00785CDA">
      <w:pPr>
        <w:spacing w:after="120"/>
        <w:jc w:val="both"/>
        <w:rPr>
          <w:rFonts w:cs="Calibri"/>
          <w:bCs/>
          <w:sz w:val="24"/>
          <w:szCs w:val="24"/>
          <w:lang w:val="es-ES"/>
        </w:rPr>
      </w:pPr>
      <w:r>
        <w:rPr>
          <w:rFonts w:cs="Calibri"/>
          <w:bCs/>
          <w:sz w:val="24"/>
          <w:szCs w:val="24"/>
          <w:lang w:val="es-ES"/>
        </w:rPr>
        <w:t xml:space="preserve">El objetivo de la fase es seleccionar las opciones apropiadas para manejar (tratar) los riesgos valorados, considerando los resultados de la fase anterior. Para su concreción incluye las acciones siguientes:  </w:t>
      </w:r>
    </w:p>
    <w:p w14:paraId="436AC20C" w14:textId="05A593EE" w:rsidR="00D616D0" w:rsidRDefault="00785CDA">
      <w:pPr>
        <w:pStyle w:val="Prrafodelista"/>
        <w:widowControl/>
        <w:numPr>
          <w:ilvl w:val="0"/>
          <w:numId w:val="17"/>
        </w:numPr>
        <w:spacing w:after="120" w:line="259" w:lineRule="auto"/>
        <w:jc w:val="both"/>
        <w:rPr>
          <w:rFonts w:cs="Calibri"/>
          <w:sz w:val="24"/>
          <w:szCs w:val="24"/>
          <w:lang w:val="es-ES"/>
        </w:rPr>
      </w:pPr>
      <w:r>
        <w:rPr>
          <w:rFonts w:cs="Calibri"/>
          <w:bCs/>
          <w:sz w:val="24"/>
          <w:szCs w:val="24"/>
          <w:lang w:val="es-ES"/>
        </w:rPr>
        <w:t xml:space="preserve">Acción </w:t>
      </w:r>
      <w:r>
        <w:rPr>
          <w:rFonts w:cs="Calibri"/>
          <w:sz w:val="24"/>
          <w:szCs w:val="24"/>
          <w:lang w:val="es-ES"/>
        </w:rPr>
        <w:t>2.3.1. Definición de la respuesta que se dará a cada riesgo a partir de la prioridad que se determinó para el mismo. Al respecto, las posibles respuestas que se establecen son: evitar (no enfrentarlo), reducir (mitigar su efecto al máximo posible), y aceptar (asumirlo). Para el desarrollo de esta acción se emplearán técnicas cualitativas de trabajo grupal (consenso), que permitirán definir, sobre la base de la información disponible sobre su comportamiento histórico y la experiencia de los participantes, qué respuesta se dará a cada uno de los riesgos de acuerdo con la prioridad (nivel) que este tiene</w:t>
      </w:r>
      <w:r w:rsidR="0092646E">
        <w:rPr>
          <w:rFonts w:cs="Calibri"/>
          <w:sz w:val="24"/>
          <w:szCs w:val="24"/>
          <w:lang w:val="es-ES"/>
        </w:rPr>
        <w:t>.</w:t>
      </w:r>
      <w:r>
        <w:rPr>
          <w:rFonts w:cs="Calibri"/>
          <w:sz w:val="24"/>
          <w:szCs w:val="24"/>
          <w:lang w:val="es-ES"/>
        </w:rPr>
        <w:t xml:space="preserve"> </w:t>
      </w:r>
    </w:p>
    <w:p w14:paraId="71A3134F" w14:textId="3D61F2B0" w:rsidR="00D616D0" w:rsidRDefault="00785CDA">
      <w:pPr>
        <w:pStyle w:val="Prrafodelista"/>
        <w:widowControl/>
        <w:numPr>
          <w:ilvl w:val="0"/>
          <w:numId w:val="17"/>
        </w:numPr>
        <w:spacing w:after="120" w:line="259" w:lineRule="auto"/>
        <w:jc w:val="both"/>
        <w:rPr>
          <w:rFonts w:eastAsia="Times New Roman" w:cs="Calibri"/>
          <w:bCs/>
          <w:sz w:val="24"/>
          <w:szCs w:val="24"/>
          <w:lang w:val="es-ES" w:eastAsia="es-MX"/>
        </w:rPr>
      </w:pPr>
      <w:r>
        <w:rPr>
          <w:rFonts w:eastAsia="Times New Roman" w:cs="Calibri"/>
          <w:bCs/>
          <w:sz w:val="24"/>
          <w:szCs w:val="24"/>
          <w:lang w:val="es-ES" w:eastAsia="es-MX"/>
        </w:rPr>
        <w:t>Acción 2.3.2. Comunicación y consulta a los distintos actores de la comunidad educativa sobre los resultados del análisis desarrollado por el GTPI</w:t>
      </w:r>
      <w:r>
        <w:rPr>
          <w:rFonts w:cs="Calibri"/>
          <w:sz w:val="24"/>
          <w:szCs w:val="24"/>
          <w:lang w:val="es-ES"/>
        </w:rPr>
        <w:t xml:space="preserve"> en la acción anterior (respuesta que se dará a cada riesgo a partir de la prioridad que se determinó en cada caso), que incluirá información sobre los resultados de las acciones precedentes (2.2.1 y 2.2.2) que le sirvieron de base.</w:t>
      </w:r>
      <w:r>
        <w:rPr>
          <w:rFonts w:eastAsia="Times New Roman" w:cs="Calibri"/>
          <w:bCs/>
          <w:sz w:val="24"/>
          <w:szCs w:val="24"/>
          <w:lang w:val="es-ES" w:eastAsia="es-MX"/>
        </w:rPr>
        <w:t xml:space="preserve"> Para este proceso se efectuarán encuentros abiertos con el GTPI, a los que se convocarán los diferentes segmentos de la comunidad educativas, así como se utilizarán los espacios que </w:t>
      </w:r>
      <w:r>
        <w:rPr>
          <w:rFonts w:eastAsia="Times New Roman" w:cs="Calibri"/>
          <w:bCs/>
          <w:sz w:val="24"/>
          <w:szCs w:val="24"/>
          <w:lang w:val="es-ES" w:eastAsia="es-MX"/>
        </w:rPr>
        <w:lastRenderedPageBreak/>
        <w:t>ofrece el sistema de trabajo de la institución y sus organizaciones, y otras vías como las redes sociales</w:t>
      </w:r>
      <w:r w:rsidR="0092646E">
        <w:rPr>
          <w:rFonts w:eastAsia="Times New Roman" w:cs="Calibri"/>
          <w:bCs/>
          <w:sz w:val="24"/>
          <w:szCs w:val="24"/>
          <w:lang w:val="es-ES" w:eastAsia="es-MX"/>
        </w:rPr>
        <w:t>.</w:t>
      </w:r>
      <w:r>
        <w:rPr>
          <w:rFonts w:eastAsia="Times New Roman" w:cs="Calibri"/>
          <w:bCs/>
          <w:sz w:val="24"/>
          <w:szCs w:val="24"/>
          <w:lang w:val="es-ES" w:eastAsia="es-MX"/>
        </w:rPr>
        <w:t xml:space="preserve"> </w:t>
      </w:r>
    </w:p>
    <w:p w14:paraId="1828AC72" w14:textId="54819B10" w:rsidR="00D616D0" w:rsidRPr="0092646E" w:rsidRDefault="00785CDA" w:rsidP="0092646E">
      <w:pPr>
        <w:pStyle w:val="Prrafodelista"/>
        <w:widowControl/>
        <w:numPr>
          <w:ilvl w:val="0"/>
          <w:numId w:val="17"/>
        </w:numPr>
        <w:spacing w:after="120" w:line="259" w:lineRule="auto"/>
        <w:ind w:left="357" w:hanging="357"/>
        <w:contextualSpacing w:val="0"/>
        <w:jc w:val="both"/>
        <w:rPr>
          <w:rFonts w:cs="Calibri"/>
          <w:b/>
          <w:sz w:val="24"/>
          <w:szCs w:val="24"/>
          <w:lang w:val="es-ES"/>
        </w:rPr>
      </w:pPr>
      <w:r>
        <w:rPr>
          <w:rFonts w:eastAsia="Times New Roman" w:cs="Calibri"/>
          <w:bCs/>
          <w:sz w:val="24"/>
          <w:szCs w:val="24"/>
          <w:lang w:val="es-ES" w:eastAsia="es-MX"/>
        </w:rPr>
        <w:t>Acción 2.3.3. Análisis y valoración de posibles ajustes a la propuesta</w:t>
      </w:r>
      <w:r>
        <w:rPr>
          <w:rFonts w:eastAsia="Times New Roman" w:cs="Calibri"/>
          <w:b/>
          <w:sz w:val="24"/>
          <w:szCs w:val="24"/>
          <w:lang w:val="es-ES" w:eastAsia="es-MX"/>
        </w:rPr>
        <w:t xml:space="preserve"> </w:t>
      </w:r>
      <w:r>
        <w:rPr>
          <w:rFonts w:eastAsia="Times New Roman" w:cs="Calibri"/>
          <w:bCs/>
          <w:sz w:val="24"/>
          <w:szCs w:val="24"/>
          <w:lang w:val="es-ES" w:eastAsia="es-MX"/>
        </w:rPr>
        <w:t xml:space="preserve">de </w:t>
      </w:r>
      <w:r>
        <w:rPr>
          <w:rFonts w:cs="Calibri"/>
          <w:sz w:val="24"/>
          <w:szCs w:val="24"/>
          <w:lang w:val="es-ES"/>
        </w:rPr>
        <w:t>respuesta a dar a los riesgos evaluados a partir de la prioridad que se determinó para cada uno</w:t>
      </w:r>
      <w:r>
        <w:rPr>
          <w:rFonts w:eastAsia="Times New Roman" w:cs="Calibri"/>
          <w:bCs/>
          <w:sz w:val="24"/>
          <w:szCs w:val="24"/>
          <w:lang w:val="es-ES" w:eastAsia="es-MX"/>
        </w:rPr>
        <w:t xml:space="preserve"> y, en caso de que procedan, la aprobación por el GTPI con la presencia del consejo de dirección de la institución educativa de la respuesta definitiva a ofrecer para el tratamiento de cada riesgo.</w:t>
      </w:r>
    </w:p>
    <w:p w14:paraId="6B6C56DF" w14:textId="77777777" w:rsidR="00D616D0" w:rsidRPr="0092646E" w:rsidRDefault="00785CDA">
      <w:pPr>
        <w:spacing w:after="120"/>
        <w:jc w:val="both"/>
        <w:rPr>
          <w:rFonts w:cs="Calibri"/>
          <w:i/>
          <w:sz w:val="24"/>
          <w:szCs w:val="24"/>
          <w:lang w:val="es-ES"/>
        </w:rPr>
      </w:pPr>
      <w:r w:rsidRPr="0092646E">
        <w:rPr>
          <w:rFonts w:cs="Calibri"/>
          <w:i/>
          <w:sz w:val="24"/>
          <w:szCs w:val="24"/>
          <w:lang w:val="es-ES"/>
        </w:rPr>
        <w:t>Etapa 3. De planificación e implementación de acciones para el tratamiento de los riesgos evaluados</w:t>
      </w:r>
    </w:p>
    <w:p w14:paraId="364D9176" w14:textId="77777777" w:rsidR="00D616D0" w:rsidRDefault="00785CDA">
      <w:pPr>
        <w:spacing w:after="120"/>
        <w:jc w:val="both"/>
        <w:rPr>
          <w:rFonts w:eastAsia="Times New Roman" w:cs="Calibri"/>
          <w:bCs/>
          <w:sz w:val="24"/>
          <w:szCs w:val="24"/>
          <w:lang w:val="es-ES" w:eastAsia="es-MX"/>
        </w:rPr>
      </w:pPr>
      <w:r>
        <w:rPr>
          <w:rFonts w:cs="Calibri"/>
          <w:bCs/>
          <w:sz w:val="24"/>
          <w:szCs w:val="24"/>
          <w:lang w:val="es-ES"/>
        </w:rPr>
        <w:t xml:space="preserve">La etapa tiene como objetivo la definición, puesta en práctica, control y evaluación de acciones destinadas a la prevención del consumo de drogas en la institución educativa </w:t>
      </w:r>
      <w:r>
        <w:rPr>
          <w:rFonts w:eastAsia="Times New Roman" w:cs="Calibri"/>
          <w:bCs/>
          <w:sz w:val="24"/>
          <w:szCs w:val="24"/>
          <w:lang w:val="es-ES" w:eastAsia="es-MX"/>
        </w:rPr>
        <w:t>para eliminar o reducir al máximo posible su efecto en los educandos. Para ello consta de dos fases y 12 acciones.</w:t>
      </w:r>
    </w:p>
    <w:p w14:paraId="58D23DCC" w14:textId="77777777" w:rsidR="00D616D0" w:rsidRPr="0092646E" w:rsidRDefault="00785CDA">
      <w:pPr>
        <w:spacing w:after="120"/>
        <w:jc w:val="both"/>
        <w:rPr>
          <w:rFonts w:cs="Calibri"/>
          <w:i/>
          <w:sz w:val="24"/>
          <w:szCs w:val="24"/>
          <w:lang w:val="es-ES"/>
        </w:rPr>
      </w:pPr>
      <w:r w:rsidRPr="0092646E">
        <w:rPr>
          <w:rFonts w:cs="Calibri"/>
          <w:i/>
          <w:sz w:val="24"/>
          <w:szCs w:val="24"/>
          <w:lang w:val="es-ES"/>
        </w:rPr>
        <w:t>Fase 3.1. De determinación de los objetivos de control y actualización del plan de prevención de riesgos de la institución educativa</w:t>
      </w:r>
    </w:p>
    <w:p w14:paraId="1499A476" w14:textId="77777777" w:rsidR="00D616D0" w:rsidRDefault="00785CDA">
      <w:pPr>
        <w:spacing w:after="120"/>
        <w:jc w:val="both"/>
        <w:rPr>
          <w:rFonts w:cs="Calibri"/>
          <w:bCs/>
          <w:sz w:val="24"/>
          <w:szCs w:val="24"/>
          <w:lang w:val="es-ES"/>
        </w:rPr>
      </w:pPr>
      <w:r>
        <w:rPr>
          <w:rFonts w:cs="Calibri"/>
          <w:bCs/>
          <w:sz w:val="24"/>
          <w:szCs w:val="24"/>
          <w:lang w:val="es-ES"/>
        </w:rPr>
        <w:t xml:space="preserve">Su objetivo es establecer los objetivos de control y diseñar y/o rediseñar acciones institucionales para la labor preventiva en relación con el consumo de drogas por los educandos. En función de su cumplimiento comprende las acciones que continúan: </w:t>
      </w:r>
    </w:p>
    <w:p w14:paraId="6547052D" w14:textId="42411402" w:rsidR="00D616D0" w:rsidRDefault="00785CDA">
      <w:pPr>
        <w:pStyle w:val="Prrafodelista"/>
        <w:widowControl/>
        <w:numPr>
          <w:ilvl w:val="0"/>
          <w:numId w:val="15"/>
        </w:numPr>
        <w:spacing w:after="120" w:line="259" w:lineRule="auto"/>
        <w:jc w:val="both"/>
        <w:rPr>
          <w:rFonts w:cs="Calibri"/>
          <w:bCs/>
          <w:sz w:val="24"/>
          <w:szCs w:val="24"/>
          <w:lang w:val="es-ES"/>
        </w:rPr>
      </w:pPr>
      <w:r>
        <w:rPr>
          <w:rFonts w:cs="Calibri"/>
          <w:bCs/>
          <w:sz w:val="24"/>
          <w:szCs w:val="24"/>
          <w:lang w:val="es-ES"/>
        </w:rPr>
        <w:t>Acción 3.1.1. Determinación de los objetivos de control de la labor preventiva institucional en relación con el consumo de drogas por los educandos, así como los indicadores que posibilitan valorar su cumplimiento</w:t>
      </w:r>
      <w:r w:rsidR="0092646E">
        <w:rPr>
          <w:rFonts w:cs="Calibri"/>
          <w:bCs/>
          <w:sz w:val="24"/>
          <w:szCs w:val="24"/>
          <w:lang w:val="es-ES"/>
        </w:rPr>
        <w:t>.</w:t>
      </w:r>
      <w:r>
        <w:rPr>
          <w:rFonts w:cs="Calibri"/>
          <w:bCs/>
          <w:sz w:val="24"/>
          <w:szCs w:val="24"/>
          <w:lang w:val="es-ES"/>
        </w:rPr>
        <w:t xml:space="preserve"> </w:t>
      </w:r>
    </w:p>
    <w:p w14:paraId="709E8608" w14:textId="4C70F53B" w:rsidR="00D616D0" w:rsidRDefault="00785CDA">
      <w:pPr>
        <w:pStyle w:val="Prrafodelista"/>
        <w:widowControl/>
        <w:numPr>
          <w:ilvl w:val="0"/>
          <w:numId w:val="15"/>
        </w:numPr>
        <w:spacing w:after="120" w:line="259" w:lineRule="auto"/>
        <w:jc w:val="both"/>
        <w:rPr>
          <w:rFonts w:cs="Calibri"/>
          <w:bCs/>
          <w:sz w:val="24"/>
          <w:szCs w:val="24"/>
          <w:lang w:val="es-ES"/>
        </w:rPr>
      </w:pPr>
      <w:r>
        <w:rPr>
          <w:rFonts w:cs="Calibri"/>
          <w:bCs/>
          <w:sz w:val="24"/>
          <w:szCs w:val="24"/>
          <w:lang w:val="es-ES"/>
        </w:rPr>
        <w:t>Acción 3.1.2. Actualización del plan de prevención de riesgos de la institución educativa con acciones específicas destinadas a robustecer la labor preventiva en relación con el consumo de drogas, a partir de las decisiones adoptadas para el manejo de los riesgos identificados y evaluados</w:t>
      </w:r>
      <w:r w:rsidR="0092646E">
        <w:rPr>
          <w:rFonts w:cs="Calibri"/>
          <w:bCs/>
          <w:sz w:val="24"/>
          <w:szCs w:val="24"/>
          <w:lang w:val="es-ES"/>
        </w:rPr>
        <w:t>.</w:t>
      </w:r>
      <w:r>
        <w:rPr>
          <w:rFonts w:cs="Calibri"/>
          <w:bCs/>
          <w:sz w:val="24"/>
          <w:szCs w:val="24"/>
          <w:lang w:val="es-ES"/>
        </w:rPr>
        <w:t xml:space="preserve"> </w:t>
      </w:r>
    </w:p>
    <w:p w14:paraId="0C88D653" w14:textId="33810727" w:rsidR="00D616D0" w:rsidRDefault="00785CDA">
      <w:pPr>
        <w:pStyle w:val="Prrafodelista"/>
        <w:widowControl/>
        <w:numPr>
          <w:ilvl w:val="0"/>
          <w:numId w:val="15"/>
        </w:numPr>
        <w:spacing w:after="120" w:line="259" w:lineRule="auto"/>
        <w:jc w:val="both"/>
        <w:rPr>
          <w:rFonts w:eastAsia="Times New Roman" w:cs="Calibri"/>
          <w:bCs/>
          <w:sz w:val="24"/>
          <w:szCs w:val="24"/>
          <w:lang w:val="es-ES" w:eastAsia="es-MX"/>
        </w:rPr>
      </w:pPr>
      <w:r>
        <w:rPr>
          <w:rFonts w:cs="Calibri"/>
          <w:bCs/>
          <w:sz w:val="24"/>
          <w:szCs w:val="24"/>
          <w:lang w:val="es-ES"/>
        </w:rPr>
        <w:t xml:space="preserve">Acción </w:t>
      </w:r>
      <w:r>
        <w:rPr>
          <w:rFonts w:eastAsia="Times New Roman" w:cs="Calibri"/>
          <w:bCs/>
          <w:sz w:val="24"/>
          <w:szCs w:val="24"/>
          <w:lang w:val="es-ES" w:eastAsia="es-MX"/>
        </w:rPr>
        <w:t>3.1.3. Comunicación y consulta a los distintos actores de la comunidad educativa sobre los objetivos de control y la actualización del plan de prevención de riesgos de la institución para robustecer la labor preventiva en relación con el consumo de drogas por los educandos. Para su realización se realizarán encuentros de intercambio con el GTPI, al que se convocarán los diferentes segmentos de la comunidad educativa, así como se utilizarán los espacios que ofrece el sistema de trabajo de la institución y sus organizaciones, las redes sociales, u otras vías.</w:t>
      </w:r>
    </w:p>
    <w:p w14:paraId="7892D38A" w14:textId="77777777" w:rsidR="00D616D0" w:rsidRDefault="00785CDA">
      <w:pPr>
        <w:spacing w:after="120"/>
        <w:jc w:val="both"/>
        <w:rPr>
          <w:rFonts w:eastAsia="Times New Roman" w:cs="Calibri"/>
          <w:bCs/>
          <w:sz w:val="24"/>
          <w:szCs w:val="24"/>
          <w:lang w:val="es-ES" w:eastAsia="es-MX"/>
        </w:rPr>
      </w:pPr>
      <w:r>
        <w:rPr>
          <w:rFonts w:eastAsia="Times New Roman" w:cs="Calibri"/>
          <w:bCs/>
          <w:sz w:val="24"/>
          <w:szCs w:val="24"/>
          <w:lang w:val="es-ES" w:eastAsia="es-MX"/>
        </w:rPr>
        <w:t xml:space="preserve">La fase concluye con las acciones 3.1.4 y 3.1.5, dirigidas al análisis y valoración de posibles ajustes a los objetivos de control y la actualización del plan de prevención de riesgos de la institución educativa por el GTPI y; a la aprobación definitiva de los objetivos de control y el plan de prevención de riesgos actualizado por el consejo de dirección institucional, respectivamente. </w:t>
      </w:r>
    </w:p>
    <w:p w14:paraId="33CA4779" w14:textId="61173C2E" w:rsidR="00D616D0" w:rsidRPr="0092646E" w:rsidRDefault="00785CDA">
      <w:pPr>
        <w:spacing w:after="120"/>
        <w:jc w:val="both"/>
        <w:rPr>
          <w:rFonts w:cs="Calibri"/>
          <w:i/>
          <w:sz w:val="24"/>
          <w:szCs w:val="24"/>
          <w:lang w:val="es-ES"/>
        </w:rPr>
      </w:pPr>
      <w:r w:rsidRPr="0092646E">
        <w:rPr>
          <w:rFonts w:cs="Calibri"/>
          <w:i/>
          <w:sz w:val="24"/>
          <w:szCs w:val="24"/>
          <w:lang w:val="es-ES"/>
        </w:rPr>
        <w:t>Fase 3.2. De implementación, control sistemático y evaluación periódica de los objetivos de control y el plan de prevención de riesgos actualizado de la institución educativa</w:t>
      </w:r>
      <w:r w:rsidRPr="0092646E">
        <w:rPr>
          <w:rFonts w:eastAsia="Times New Roman" w:cs="Calibri"/>
          <w:i/>
          <w:sz w:val="24"/>
          <w:szCs w:val="24"/>
          <w:lang w:val="es-ES" w:eastAsia="es-MX"/>
        </w:rPr>
        <w:t xml:space="preserve"> </w:t>
      </w:r>
    </w:p>
    <w:p w14:paraId="7224CDFD" w14:textId="77777777" w:rsidR="00D616D0" w:rsidRDefault="00785CDA">
      <w:pPr>
        <w:spacing w:after="120"/>
        <w:jc w:val="both"/>
        <w:rPr>
          <w:rFonts w:cs="Calibri"/>
          <w:sz w:val="24"/>
          <w:szCs w:val="24"/>
          <w:lang w:val="es-ES"/>
        </w:rPr>
      </w:pPr>
      <w:r>
        <w:rPr>
          <w:rFonts w:cs="Calibri"/>
          <w:bCs/>
          <w:sz w:val="24"/>
          <w:szCs w:val="24"/>
          <w:lang w:val="es-ES"/>
        </w:rPr>
        <w:lastRenderedPageBreak/>
        <w:t>El objetivo de esta etapa es poner en práctica las acciones institucionales para robustecer la labor preventiva en relación con el consumo de drogas por los educandos, controlar sistemáticamente dicho proceso y evaluarlo periódicamente para producir información que sirva como insumo a la toma de decisiones para su mejora.</w:t>
      </w:r>
      <w:r>
        <w:rPr>
          <w:rFonts w:cs="Calibri"/>
          <w:sz w:val="24"/>
          <w:szCs w:val="24"/>
          <w:lang w:val="es-ES"/>
        </w:rPr>
        <w:t xml:space="preserve"> Incluye, para ello, las acciones siguientes: </w:t>
      </w:r>
    </w:p>
    <w:p w14:paraId="08FF455F" w14:textId="52325692" w:rsidR="00D616D0" w:rsidRDefault="00785CDA">
      <w:pPr>
        <w:pStyle w:val="Prrafodelista"/>
        <w:widowControl/>
        <w:numPr>
          <w:ilvl w:val="0"/>
          <w:numId w:val="16"/>
        </w:numPr>
        <w:spacing w:after="120" w:line="259" w:lineRule="auto"/>
        <w:jc w:val="both"/>
        <w:rPr>
          <w:rFonts w:cs="Calibri"/>
          <w:bCs/>
          <w:sz w:val="24"/>
          <w:szCs w:val="24"/>
          <w:lang w:val="es-ES"/>
        </w:rPr>
      </w:pPr>
      <w:r>
        <w:rPr>
          <w:rFonts w:cs="Calibri"/>
          <w:bCs/>
          <w:sz w:val="24"/>
          <w:szCs w:val="24"/>
          <w:lang w:val="es-ES"/>
        </w:rPr>
        <w:t>Acción 3.2.1. Información a la comunidad educativa sobre los objetivos de control y el plan de prevención de riesgos actualizado tras su aprobación por el Consejo de Dirección de la institución educativa</w:t>
      </w:r>
      <w:r w:rsidR="0092646E">
        <w:rPr>
          <w:rFonts w:cs="Calibri"/>
          <w:bCs/>
          <w:sz w:val="24"/>
          <w:szCs w:val="24"/>
          <w:lang w:val="es-ES"/>
        </w:rPr>
        <w:t>.</w:t>
      </w:r>
      <w:r>
        <w:rPr>
          <w:rFonts w:cs="Calibri"/>
          <w:bCs/>
          <w:sz w:val="24"/>
          <w:szCs w:val="24"/>
          <w:lang w:val="es-ES"/>
        </w:rPr>
        <w:t xml:space="preserve"> </w:t>
      </w:r>
    </w:p>
    <w:p w14:paraId="4414F4B3" w14:textId="794E6ABA" w:rsidR="00D616D0" w:rsidRDefault="00785CDA">
      <w:pPr>
        <w:pStyle w:val="Prrafodelista"/>
        <w:widowControl/>
        <w:numPr>
          <w:ilvl w:val="0"/>
          <w:numId w:val="16"/>
        </w:numPr>
        <w:spacing w:after="120" w:line="259" w:lineRule="auto"/>
        <w:jc w:val="both"/>
        <w:rPr>
          <w:rFonts w:cs="Calibri"/>
          <w:bCs/>
          <w:sz w:val="24"/>
          <w:szCs w:val="24"/>
          <w:lang w:val="es-ES"/>
        </w:rPr>
      </w:pPr>
      <w:r>
        <w:rPr>
          <w:rFonts w:cs="Calibri"/>
          <w:bCs/>
          <w:sz w:val="24"/>
          <w:szCs w:val="24"/>
          <w:lang w:val="es-ES"/>
        </w:rPr>
        <w:t>Acción 3.2.2. Incorporación de las acciones previstas para robustecer la labor preventiva en relación con el consumo de drogas en los planes de trabajo mensuales de la institución educativa</w:t>
      </w:r>
      <w:r w:rsidR="0092646E">
        <w:rPr>
          <w:rFonts w:cs="Calibri"/>
          <w:bCs/>
          <w:sz w:val="24"/>
          <w:szCs w:val="24"/>
          <w:lang w:val="es-ES"/>
        </w:rPr>
        <w:t>.</w:t>
      </w:r>
    </w:p>
    <w:p w14:paraId="72FC50CA" w14:textId="58EA974D" w:rsidR="00D616D0" w:rsidRDefault="00785CDA">
      <w:pPr>
        <w:pStyle w:val="Prrafodelista"/>
        <w:widowControl/>
        <w:numPr>
          <w:ilvl w:val="0"/>
          <w:numId w:val="16"/>
        </w:numPr>
        <w:spacing w:after="120" w:line="259" w:lineRule="auto"/>
        <w:jc w:val="both"/>
        <w:rPr>
          <w:rFonts w:cs="Calibri"/>
          <w:bCs/>
          <w:sz w:val="24"/>
          <w:szCs w:val="24"/>
          <w:lang w:val="es-ES"/>
        </w:rPr>
      </w:pPr>
      <w:r>
        <w:rPr>
          <w:rFonts w:cs="Calibri"/>
          <w:bCs/>
          <w:sz w:val="24"/>
          <w:szCs w:val="24"/>
          <w:lang w:val="es-ES"/>
        </w:rPr>
        <w:t>Acción 3.2.3. Análisis del cumplimiento de los objetivos de control y de las acciones incluidas en el plan de prevención de riesgos para fortalecer la labor preventiva en relación con el consumo de drogas, en el marco de la valoración del cumplimiento del plan de trabajo mensual de la institución que se realiza en el consejo de dirección</w:t>
      </w:r>
      <w:r w:rsidR="0092646E">
        <w:rPr>
          <w:rFonts w:cs="Calibri"/>
          <w:bCs/>
          <w:sz w:val="24"/>
          <w:szCs w:val="24"/>
          <w:lang w:val="es-ES"/>
        </w:rPr>
        <w:t>.</w:t>
      </w:r>
    </w:p>
    <w:p w14:paraId="54B44673" w14:textId="48526D3A" w:rsidR="00D616D0" w:rsidRDefault="00785CDA">
      <w:pPr>
        <w:pStyle w:val="Prrafodelista"/>
        <w:widowControl/>
        <w:numPr>
          <w:ilvl w:val="0"/>
          <w:numId w:val="16"/>
        </w:numPr>
        <w:spacing w:after="120" w:line="259" w:lineRule="auto"/>
        <w:jc w:val="both"/>
        <w:rPr>
          <w:rFonts w:cs="Calibri"/>
          <w:bCs/>
          <w:sz w:val="24"/>
          <w:szCs w:val="24"/>
          <w:lang w:val="es-ES"/>
        </w:rPr>
      </w:pPr>
      <w:r>
        <w:rPr>
          <w:rFonts w:cs="Calibri"/>
          <w:bCs/>
          <w:sz w:val="24"/>
          <w:szCs w:val="24"/>
          <w:lang w:val="es-ES"/>
        </w:rPr>
        <w:t>Acción 3.2.4. Establecimiento de un sistema de información para la captación sistemática de datos y la producción de información relativa a los indicadores asociados a l</w:t>
      </w:r>
      <w:r w:rsidR="0092646E">
        <w:rPr>
          <w:rFonts w:cs="Calibri"/>
          <w:bCs/>
          <w:sz w:val="24"/>
          <w:szCs w:val="24"/>
          <w:lang w:val="es-ES"/>
        </w:rPr>
        <w:t>os objetivos de control.</w:t>
      </w:r>
    </w:p>
    <w:p w14:paraId="22FF875D" w14:textId="1991A63E" w:rsidR="00D616D0" w:rsidRDefault="00785CDA">
      <w:pPr>
        <w:pStyle w:val="Prrafodelista"/>
        <w:widowControl/>
        <w:numPr>
          <w:ilvl w:val="0"/>
          <w:numId w:val="16"/>
        </w:numPr>
        <w:spacing w:after="120" w:line="259" w:lineRule="auto"/>
        <w:jc w:val="both"/>
        <w:rPr>
          <w:rFonts w:cs="Calibri"/>
          <w:bCs/>
          <w:sz w:val="24"/>
          <w:szCs w:val="24"/>
          <w:lang w:val="es-ES"/>
        </w:rPr>
      </w:pPr>
      <w:r>
        <w:rPr>
          <w:rFonts w:cs="Calibri"/>
          <w:bCs/>
          <w:sz w:val="24"/>
          <w:szCs w:val="24"/>
          <w:lang w:val="es-ES"/>
        </w:rPr>
        <w:t>Acción 3.2.5. Realización de evaluaciones semestrales, con la implicación de todos los actores de la comunidad educativa, para valorar el cumplimiento de los objetivos de control y el efecto las acciones incluidas en el plan de prevención de riesgos para robustecer la labor preventiva en relación con el consumo de drogas y producir información para la toma de decisiones en función de su mejoramiento</w:t>
      </w:r>
      <w:r w:rsidR="0092646E">
        <w:rPr>
          <w:rFonts w:cs="Calibri"/>
          <w:bCs/>
          <w:sz w:val="24"/>
          <w:szCs w:val="24"/>
          <w:lang w:val="es-ES"/>
        </w:rPr>
        <w:t>.</w:t>
      </w:r>
      <w:r>
        <w:rPr>
          <w:rFonts w:cs="Calibri"/>
          <w:bCs/>
          <w:sz w:val="24"/>
          <w:szCs w:val="24"/>
          <w:lang w:val="es-ES"/>
        </w:rPr>
        <w:t xml:space="preserve"> </w:t>
      </w:r>
    </w:p>
    <w:p w14:paraId="3FF8CF9B" w14:textId="7E25E32C" w:rsidR="00D616D0" w:rsidRDefault="00785CDA">
      <w:pPr>
        <w:pStyle w:val="Prrafodelista"/>
        <w:widowControl/>
        <w:numPr>
          <w:ilvl w:val="0"/>
          <w:numId w:val="16"/>
        </w:numPr>
        <w:spacing w:after="120" w:line="259" w:lineRule="auto"/>
        <w:jc w:val="both"/>
        <w:rPr>
          <w:rFonts w:eastAsia="Times New Roman" w:cs="Calibri"/>
          <w:bCs/>
          <w:sz w:val="24"/>
          <w:szCs w:val="24"/>
          <w:lang w:val="es-ES" w:eastAsia="es-MX"/>
        </w:rPr>
      </w:pPr>
      <w:r>
        <w:rPr>
          <w:rFonts w:cs="Calibri"/>
          <w:bCs/>
          <w:sz w:val="24"/>
          <w:szCs w:val="24"/>
          <w:lang w:val="es-ES"/>
        </w:rPr>
        <w:t xml:space="preserve">Acción 3.2.6. </w:t>
      </w:r>
      <w:r>
        <w:rPr>
          <w:rFonts w:eastAsia="Times New Roman" w:cs="Calibri"/>
          <w:bCs/>
          <w:sz w:val="24"/>
          <w:szCs w:val="24"/>
          <w:lang w:val="es-ES" w:eastAsia="es-MX"/>
        </w:rPr>
        <w:t>Actualización anual de los insumos principales para el inicio de un nuevo ciclo de gestión de la labor preventiva en relación con el consumo de drogas en la secundaria básica: definición del alcance, establecimiento del contexto interno y externo, definición de los criterios para riesgos, identificación de riesgos, análisis y valoración de riesgos y tratamiento de riesgos</w:t>
      </w:r>
      <w:r w:rsidR="0092646E">
        <w:rPr>
          <w:rFonts w:eastAsia="Times New Roman" w:cs="Calibri"/>
          <w:bCs/>
          <w:sz w:val="24"/>
          <w:szCs w:val="24"/>
          <w:lang w:val="es-ES" w:eastAsia="es-MX"/>
        </w:rPr>
        <w:t>.</w:t>
      </w:r>
    </w:p>
    <w:p w14:paraId="47413876" w14:textId="77777777" w:rsidR="00D616D0" w:rsidRDefault="00785CDA">
      <w:pPr>
        <w:pStyle w:val="Prrafodelista"/>
        <w:widowControl/>
        <w:numPr>
          <w:ilvl w:val="0"/>
          <w:numId w:val="16"/>
        </w:numPr>
        <w:spacing w:after="120" w:line="259" w:lineRule="auto"/>
        <w:jc w:val="both"/>
        <w:rPr>
          <w:rFonts w:cs="Calibri"/>
          <w:sz w:val="24"/>
          <w:szCs w:val="24"/>
          <w:lang w:val="es-ES"/>
        </w:rPr>
      </w:pPr>
      <w:r>
        <w:rPr>
          <w:rFonts w:cs="Calibri"/>
          <w:bCs/>
          <w:sz w:val="24"/>
          <w:szCs w:val="24"/>
          <w:lang w:val="es-ES"/>
        </w:rPr>
        <w:t>Acción 3.2.7. Actualización de los objetivos de control y el plan de prevención de riesgos asociado, para robustecer la labor preventiva relacionada con el consumo de drogas en la institución educativa, a partir de las decisiones adoptadas a consecuencia de las evaluaciones semestrales, considerando los insumos que precisa la acción 3.2.6.</w:t>
      </w:r>
    </w:p>
    <w:p w14:paraId="2C1FE7D3" w14:textId="77777777" w:rsidR="00D616D0" w:rsidRDefault="00785CDA">
      <w:pPr>
        <w:widowControl/>
        <w:spacing w:after="120" w:line="259" w:lineRule="auto"/>
        <w:jc w:val="both"/>
        <w:rPr>
          <w:rFonts w:cs="Calibri"/>
          <w:bCs/>
          <w:sz w:val="24"/>
          <w:szCs w:val="24"/>
          <w:lang w:val="es-ES"/>
        </w:rPr>
      </w:pPr>
      <w:r>
        <w:rPr>
          <w:rFonts w:cs="Calibri"/>
          <w:bCs/>
          <w:sz w:val="24"/>
          <w:szCs w:val="24"/>
          <w:lang w:val="es-ES"/>
        </w:rPr>
        <w:t xml:space="preserve">El procedimiento tiene puntos de convergencia importantes con la propuesta (modelo) realizada por Díaz-Vicario (2015) para la gestión de la seguridad integral en centros educativos de España, cuyas estrategias de implementación reconocen la importancia del contexto (cada centro educativo es único) como un “factor clave” del proceso, así como la necesidad de la gestión de la seguridad integral en el proceso de gestión global del centro educativo. Las seis fases establecidas para la adopción y aplicación del modelo convergen, igualmente, en la consideración del compromiso de la comunidad educativa, la creación de estructuras específicas para facilitar su </w:t>
      </w:r>
      <w:r>
        <w:rPr>
          <w:rFonts w:cs="Calibri"/>
          <w:bCs/>
          <w:sz w:val="24"/>
          <w:szCs w:val="24"/>
          <w:lang w:val="es-ES"/>
        </w:rPr>
        <w:lastRenderedPageBreak/>
        <w:t xml:space="preserve">puesta en marcha, la coherencia de las acciones a desarrollar con la “realidad del centro educativo”, así como en su concreción mediante la planificación de acciones a desarrollar y su implementación, evaluación, seguimiento y retroalimentación. </w:t>
      </w:r>
    </w:p>
    <w:p w14:paraId="5F0D6523" w14:textId="5C7951CE" w:rsidR="00D616D0" w:rsidRDefault="00785CDA" w:rsidP="00312591">
      <w:pPr>
        <w:widowControl/>
        <w:spacing w:after="240" w:line="259" w:lineRule="auto"/>
        <w:jc w:val="both"/>
        <w:rPr>
          <w:rFonts w:cs="Calibri"/>
          <w:bCs/>
          <w:sz w:val="24"/>
          <w:szCs w:val="24"/>
          <w:lang w:val="es-ES"/>
        </w:rPr>
      </w:pPr>
      <w:r>
        <w:rPr>
          <w:rFonts w:cs="Calibri"/>
          <w:bCs/>
          <w:sz w:val="24"/>
          <w:szCs w:val="24"/>
          <w:lang w:val="es-ES"/>
        </w:rPr>
        <w:t>El procedimiento para el desarrollo de la prevención educativa como competencia de</w:t>
      </w:r>
      <w:r w:rsidR="00312591">
        <w:rPr>
          <w:rFonts w:cs="Calibri"/>
          <w:bCs/>
          <w:sz w:val="24"/>
          <w:szCs w:val="24"/>
          <w:lang w:val="es-ES"/>
        </w:rPr>
        <w:t xml:space="preserve"> </w:t>
      </w:r>
      <w:r>
        <w:rPr>
          <w:rFonts w:cs="Calibri"/>
          <w:bCs/>
          <w:sz w:val="24"/>
          <w:szCs w:val="24"/>
          <w:lang w:val="es-ES"/>
        </w:rPr>
        <w:t xml:space="preserve">dirección (Reyes, </w:t>
      </w:r>
      <w:r w:rsidRPr="00312591">
        <w:rPr>
          <w:rFonts w:cs="Calibri"/>
          <w:bCs/>
          <w:i/>
          <w:sz w:val="24"/>
          <w:szCs w:val="24"/>
          <w:lang w:val="es-ES"/>
        </w:rPr>
        <w:t>et al</w:t>
      </w:r>
      <w:r>
        <w:rPr>
          <w:rFonts w:cs="Calibri"/>
          <w:bCs/>
          <w:sz w:val="24"/>
          <w:szCs w:val="24"/>
          <w:lang w:val="es-ES"/>
        </w:rPr>
        <w:t xml:space="preserve">, 2021), diseñado para el contexto cubano, es también convergente con la propuesta presentada, en cuanto a la descripción en seis pasos que realiza del proceso de gestión de la prevención en la institución educativa, entre los que se incluyen la preparación para su inicio y el diagnóstico y caracterización de los diferentes actores de la comunidad escolar, de los grupos escolares, de la institución y de la comunidad en que esta se inserta. </w:t>
      </w:r>
    </w:p>
    <w:p w14:paraId="1FEDE79A" w14:textId="77777777" w:rsidR="00D616D0" w:rsidRDefault="00785CDA">
      <w:pPr>
        <w:spacing w:after="120"/>
        <w:ind w:right="50"/>
        <w:jc w:val="both"/>
        <w:rPr>
          <w:rFonts w:cs="Calibri"/>
          <w:b/>
          <w:sz w:val="24"/>
          <w:szCs w:val="24"/>
          <w:lang w:val="es-ES_tradnl"/>
        </w:rPr>
      </w:pPr>
      <w:r>
        <w:rPr>
          <w:rFonts w:eastAsia="Arial" w:cs="Calibri"/>
          <w:b/>
          <w:bCs/>
          <w:sz w:val="24"/>
          <w:szCs w:val="24"/>
          <w:lang w:val="es-ES_tradnl"/>
        </w:rPr>
        <w:t>Conclusiones</w:t>
      </w:r>
    </w:p>
    <w:p w14:paraId="04DACA67" w14:textId="77777777" w:rsidR="00D616D0" w:rsidRDefault="00785CDA">
      <w:pPr>
        <w:spacing w:after="120"/>
        <w:ind w:right="50"/>
        <w:jc w:val="both"/>
        <w:rPr>
          <w:rFonts w:eastAsia="Arial" w:cs="Calibri"/>
          <w:spacing w:val="1"/>
          <w:sz w:val="24"/>
          <w:szCs w:val="24"/>
          <w:lang w:val="es-ES_tradnl"/>
        </w:rPr>
      </w:pPr>
      <w:r>
        <w:rPr>
          <w:rFonts w:eastAsia="Arial" w:cs="Calibri"/>
          <w:spacing w:val="1"/>
          <w:sz w:val="24"/>
          <w:szCs w:val="24"/>
          <w:lang w:val="es-ES_tradnl"/>
        </w:rPr>
        <w:t xml:space="preserve">El procedimiento elaborado constituye una respuesta plausible para gestionar la labor preventiva en relación con el consumo de drogas en las secundarias básicas al constituir un recurso metodológico que facilita el desempeño del equipo directivo, propicia la participación de los diferentes actores de la comunidad educativa y se imbrica orgánicamente al sistema de trabajo y en el proceso global de gestión de la institución educativa.  </w:t>
      </w:r>
    </w:p>
    <w:p w14:paraId="58938185" w14:textId="77777777" w:rsidR="00D616D0" w:rsidRDefault="00785CDA" w:rsidP="00CD2C56">
      <w:pPr>
        <w:spacing w:after="480"/>
        <w:ind w:right="51"/>
        <w:jc w:val="both"/>
        <w:rPr>
          <w:rFonts w:cs="Calibri"/>
          <w:bCs/>
          <w:sz w:val="24"/>
          <w:szCs w:val="24"/>
          <w:lang w:val="es-ES" w:eastAsia="es-MX"/>
        </w:rPr>
      </w:pPr>
      <w:r>
        <w:rPr>
          <w:rFonts w:cs="Calibri"/>
          <w:bCs/>
          <w:sz w:val="24"/>
          <w:szCs w:val="24"/>
          <w:lang w:val="es-ES" w:eastAsia="es-MX"/>
        </w:rPr>
        <w:t xml:space="preserve">La propuesta es, igualmente, una alternativa metodológica novedosa que aprovecha las ventajas de la gestión de riesgos, utilizada solo parcial y limitadamente en el contexto educativo cubano para el desarrollo de la labor preventiva. Aprovecha y adecua los presupuestos teórico -metodológicos presentes en dicha concepción </w:t>
      </w:r>
      <w:r w:rsidRPr="004E2041">
        <w:rPr>
          <w:rFonts w:cs="Calibri"/>
          <w:bCs/>
          <w:sz w:val="24"/>
          <w:szCs w:val="24"/>
          <w:lang w:val="es-ES" w:eastAsia="es-MX"/>
        </w:rPr>
        <w:t xml:space="preserve">y </w:t>
      </w:r>
      <w:r>
        <w:rPr>
          <w:rFonts w:cs="Calibri"/>
          <w:bCs/>
          <w:sz w:val="24"/>
          <w:szCs w:val="24"/>
          <w:lang w:val="es-ES" w:eastAsia="es-MX"/>
        </w:rPr>
        <w:t xml:space="preserve">reconoce la importancia de los procesos que la hacen viable, tales como: la definición del alcance, el contexto interno y externo y la adopción de criterios para riesgos; la evaluación y el tratamiento de riesgos; así como la comunicación y consulta que, desarrollada permanentemente, provee al procedimiento modelado de un carácter participativo. </w:t>
      </w:r>
    </w:p>
    <w:p w14:paraId="2DDCBCAF" w14:textId="77777777" w:rsidR="00D616D0" w:rsidRPr="009E208E" w:rsidRDefault="00785CDA">
      <w:pPr>
        <w:spacing w:after="120"/>
        <w:ind w:right="50"/>
        <w:jc w:val="both"/>
        <w:rPr>
          <w:rFonts w:cs="Calibri"/>
          <w:b/>
          <w:sz w:val="24"/>
          <w:szCs w:val="24"/>
        </w:rPr>
      </w:pPr>
      <w:proofErr w:type="spellStart"/>
      <w:r w:rsidRPr="009E208E">
        <w:rPr>
          <w:rFonts w:eastAsia="Arial" w:cs="Calibri"/>
          <w:b/>
          <w:bCs/>
          <w:sz w:val="24"/>
          <w:szCs w:val="24"/>
        </w:rPr>
        <w:t>Referencias</w:t>
      </w:r>
      <w:proofErr w:type="spellEnd"/>
    </w:p>
    <w:p w14:paraId="083F5899" w14:textId="77777777" w:rsidR="00D616D0" w:rsidRPr="00312591" w:rsidRDefault="00785CDA" w:rsidP="00BB2BA7">
      <w:pPr>
        <w:pStyle w:val="Piedepgina"/>
        <w:spacing w:after="120" w:line="276" w:lineRule="auto"/>
        <w:ind w:left="720" w:hanging="720"/>
        <w:rPr>
          <w:rStyle w:val="Hipervnculo"/>
          <w:rFonts w:cs="Calibri"/>
          <w:color w:val="auto"/>
          <w:sz w:val="24"/>
          <w:szCs w:val="24"/>
          <w:u w:val="none"/>
        </w:rPr>
      </w:pPr>
      <w:proofErr w:type="spellStart"/>
      <w:r w:rsidRPr="00312591">
        <w:rPr>
          <w:rFonts w:cs="Calibri"/>
          <w:sz w:val="24"/>
          <w:szCs w:val="24"/>
        </w:rPr>
        <w:t>Azmawati</w:t>
      </w:r>
      <w:proofErr w:type="spellEnd"/>
      <w:r w:rsidRPr="00312591">
        <w:rPr>
          <w:rFonts w:cs="Calibri"/>
          <w:sz w:val="24"/>
          <w:szCs w:val="24"/>
        </w:rPr>
        <w:t xml:space="preserve">, N; </w:t>
      </w:r>
      <w:proofErr w:type="spellStart"/>
      <w:r w:rsidRPr="00312591">
        <w:rPr>
          <w:rFonts w:cs="Calibri"/>
          <w:sz w:val="24"/>
          <w:szCs w:val="24"/>
        </w:rPr>
        <w:t>Rozmi</w:t>
      </w:r>
      <w:proofErr w:type="spellEnd"/>
      <w:r w:rsidRPr="00312591">
        <w:rPr>
          <w:rFonts w:cs="Calibri"/>
          <w:sz w:val="24"/>
          <w:szCs w:val="24"/>
        </w:rPr>
        <w:t xml:space="preserve">, I; Fauziah, I; Mohd, H; Mohd, A.M; Noh, A; </w:t>
      </w:r>
      <w:proofErr w:type="spellStart"/>
      <w:r w:rsidRPr="00312591">
        <w:rPr>
          <w:rFonts w:cs="Calibri"/>
          <w:sz w:val="24"/>
          <w:szCs w:val="24"/>
        </w:rPr>
        <w:t>Norhayati</w:t>
      </w:r>
      <w:proofErr w:type="spellEnd"/>
      <w:r w:rsidRPr="00312591">
        <w:rPr>
          <w:rFonts w:cs="Calibri"/>
          <w:sz w:val="24"/>
          <w:szCs w:val="24"/>
        </w:rPr>
        <w:t xml:space="preserve">, I y Nurul, S. (2021). Risk and protective factors of drug abuse among adolescents: a </w:t>
      </w:r>
      <w:proofErr w:type="spellStart"/>
      <w:r w:rsidRPr="00312591">
        <w:rPr>
          <w:rFonts w:cs="Calibri"/>
          <w:sz w:val="24"/>
          <w:szCs w:val="24"/>
        </w:rPr>
        <w:t>sistematyc</w:t>
      </w:r>
      <w:proofErr w:type="spellEnd"/>
      <w:r w:rsidRPr="00312591">
        <w:rPr>
          <w:rFonts w:cs="Calibri"/>
          <w:sz w:val="24"/>
          <w:szCs w:val="24"/>
        </w:rPr>
        <w:t xml:space="preserve"> review. </w:t>
      </w:r>
      <w:r w:rsidRPr="00312591">
        <w:rPr>
          <w:rFonts w:cs="Calibri"/>
          <w:i/>
          <w:sz w:val="24"/>
        </w:rPr>
        <w:t xml:space="preserve">BMC Public Health, </w:t>
      </w:r>
      <w:proofErr w:type="spellStart"/>
      <w:r w:rsidRPr="00312591">
        <w:rPr>
          <w:rFonts w:cs="Calibri"/>
          <w:i/>
          <w:sz w:val="24"/>
        </w:rPr>
        <w:t>Universiti</w:t>
      </w:r>
      <w:proofErr w:type="spellEnd"/>
      <w:r w:rsidRPr="00312591">
        <w:rPr>
          <w:rFonts w:cs="Calibri"/>
          <w:i/>
          <w:sz w:val="24"/>
        </w:rPr>
        <w:t xml:space="preserve"> </w:t>
      </w:r>
      <w:proofErr w:type="spellStart"/>
      <w:r w:rsidRPr="00312591">
        <w:rPr>
          <w:rFonts w:cs="Calibri"/>
          <w:i/>
          <w:sz w:val="24"/>
        </w:rPr>
        <w:t>Kebangsaan</w:t>
      </w:r>
      <w:proofErr w:type="spellEnd"/>
      <w:r w:rsidRPr="00312591">
        <w:rPr>
          <w:rFonts w:cs="Calibri"/>
          <w:i/>
          <w:sz w:val="24"/>
        </w:rPr>
        <w:t xml:space="preserve"> Malaysia,</w:t>
      </w:r>
      <w:r w:rsidRPr="00312591">
        <w:rPr>
          <w:rFonts w:cs="Calibri"/>
          <w:sz w:val="24"/>
          <w:szCs w:val="24"/>
        </w:rPr>
        <w:t xml:space="preserve"> </w:t>
      </w:r>
      <w:r w:rsidRPr="00312591">
        <w:rPr>
          <w:rFonts w:cs="Calibri"/>
          <w:i/>
          <w:iCs/>
          <w:sz w:val="24"/>
          <w:szCs w:val="24"/>
        </w:rPr>
        <w:t>21</w:t>
      </w:r>
      <w:r w:rsidRPr="00312591">
        <w:rPr>
          <w:rFonts w:cs="Calibri"/>
          <w:sz w:val="24"/>
          <w:szCs w:val="24"/>
        </w:rPr>
        <w:t xml:space="preserve"> (1), 2-15. </w:t>
      </w:r>
      <w:hyperlink r:id="rId12" w:history="1">
        <w:r w:rsidR="00BC6962" w:rsidRPr="00312591">
          <w:rPr>
            <w:rStyle w:val="Hipervnculo"/>
            <w:rFonts w:cs="Calibri"/>
            <w:noProof/>
            <w:sz w:val="24"/>
            <w:szCs w:val="24"/>
          </w:rPr>
          <w:t>https://doi.org/10.1186/s12889-021-11906-2</w:t>
        </w:r>
      </w:hyperlink>
    </w:p>
    <w:p w14:paraId="0136A2F4" w14:textId="77777777" w:rsidR="00D616D0" w:rsidRPr="00312591" w:rsidRDefault="00785CDA" w:rsidP="00BB2BA7">
      <w:pPr>
        <w:pStyle w:val="Piedepgina"/>
        <w:spacing w:after="120" w:line="276" w:lineRule="auto"/>
        <w:ind w:left="720" w:hanging="720"/>
        <w:rPr>
          <w:rStyle w:val="Hipervnculo"/>
          <w:rFonts w:cs="Calibri"/>
          <w:color w:val="auto"/>
          <w:sz w:val="24"/>
          <w:szCs w:val="24"/>
          <w:u w:val="none"/>
        </w:rPr>
      </w:pPr>
      <w:r w:rsidRPr="00312591">
        <w:rPr>
          <w:rFonts w:cs="Calibri"/>
          <w:sz w:val="24"/>
          <w:szCs w:val="24"/>
        </w:rPr>
        <w:t>Bala,</w:t>
      </w:r>
      <w:r w:rsidRPr="00312591">
        <w:rPr>
          <w:rFonts w:cs="Calibri"/>
          <w:color w:val="FF0000"/>
          <w:sz w:val="24"/>
          <w:szCs w:val="24"/>
        </w:rPr>
        <w:t xml:space="preserve"> </w:t>
      </w:r>
      <w:r w:rsidRPr="00312591">
        <w:rPr>
          <w:rFonts w:cs="Calibri"/>
          <w:sz w:val="24"/>
          <w:szCs w:val="24"/>
        </w:rPr>
        <w:t>S;</w:t>
      </w:r>
      <w:r w:rsidRPr="00312591">
        <w:rPr>
          <w:rStyle w:val="Hipervnculo"/>
          <w:rFonts w:cs="Calibri"/>
          <w:color w:val="auto"/>
          <w:sz w:val="24"/>
          <w:szCs w:val="24"/>
          <w:u w:val="none"/>
        </w:rPr>
        <w:t xml:space="preserve"> Kangethe, S.M. (2021). </w:t>
      </w:r>
      <w:r w:rsidRPr="00312591">
        <w:rPr>
          <w:rFonts w:cs="Calibri"/>
          <w:color w:val="000000"/>
          <w:sz w:val="24"/>
          <w:szCs w:val="24"/>
        </w:rPr>
        <w:t xml:space="preserve">The Dangers Associated with Female Adolescents Consuming </w:t>
      </w:r>
      <w:proofErr w:type="spellStart"/>
      <w:r w:rsidRPr="00312591">
        <w:rPr>
          <w:rFonts w:cs="Calibri"/>
          <w:color w:val="000000"/>
          <w:sz w:val="24"/>
          <w:szCs w:val="24"/>
        </w:rPr>
        <w:t>Nyaope</w:t>
      </w:r>
      <w:proofErr w:type="spellEnd"/>
      <w:r w:rsidRPr="00312591">
        <w:rPr>
          <w:rFonts w:cs="Calibri"/>
          <w:color w:val="000000"/>
          <w:sz w:val="24"/>
          <w:szCs w:val="24"/>
        </w:rPr>
        <w:t xml:space="preserve"> Drug in Butterworth, South Africa. </w:t>
      </w:r>
      <w:r w:rsidRPr="00312591">
        <w:rPr>
          <w:rFonts w:cs="Calibri"/>
          <w:i/>
          <w:color w:val="000000"/>
          <w:sz w:val="24"/>
          <w:szCs w:val="24"/>
        </w:rPr>
        <w:t>Journal of Human Rights and Social Work.</w:t>
      </w:r>
      <w:r w:rsidRPr="00312591">
        <w:rPr>
          <w:rFonts w:cs="Calibri"/>
          <w:i/>
          <w:iCs/>
          <w:color w:val="000000"/>
          <w:sz w:val="24"/>
          <w:szCs w:val="24"/>
        </w:rPr>
        <w:t xml:space="preserve"> 6</w:t>
      </w:r>
      <w:r w:rsidRPr="00312591">
        <w:rPr>
          <w:rFonts w:cs="Calibri"/>
          <w:color w:val="000000"/>
          <w:sz w:val="24"/>
          <w:szCs w:val="24"/>
        </w:rPr>
        <w:t>, 307–317.</w:t>
      </w:r>
      <w:r w:rsidRPr="00312591">
        <w:rPr>
          <w:rFonts w:ascii="MyriadPro-SemiCn" w:hAnsi="MyriadPro-SemiCn"/>
          <w:color w:val="000000"/>
          <w:sz w:val="18"/>
          <w:szCs w:val="18"/>
        </w:rPr>
        <w:t xml:space="preserve"> </w:t>
      </w:r>
      <w:r w:rsidRPr="00312591">
        <w:rPr>
          <w:rFonts w:cs="Calibri"/>
          <w:color w:val="0070C0"/>
          <w:sz w:val="24"/>
          <w:szCs w:val="18"/>
          <w:u w:val="single"/>
        </w:rPr>
        <w:t>https://doi.org/10.1007/s41134-021-00173-1</w:t>
      </w:r>
    </w:p>
    <w:p w14:paraId="2816150D" w14:textId="77777777" w:rsidR="00D616D0" w:rsidRPr="00312591" w:rsidRDefault="00785CDA" w:rsidP="00BB2BA7">
      <w:pPr>
        <w:pStyle w:val="Piedepgina"/>
        <w:spacing w:after="120" w:line="276" w:lineRule="auto"/>
        <w:ind w:left="720" w:hanging="720"/>
        <w:rPr>
          <w:rFonts w:cs="Calibri"/>
          <w:sz w:val="24"/>
          <w:szCs w:val="24"/>
        </w:rPr>
      </w:pPr>
      <w:r w:rsidRPr="00312591">
        <w:rPr>
          <w:rFonts w:cs="Calibri"/>
          <w:sz w:val="24"/>
          <w:szCs w:val="24"/>
        </w:rPr>
        <w:t>Basedow,</w:t>
      </w:r>
      <w:r w:rsidRPr="00312591">
        <w:rPr>
          <w:rFonts w:ascii="Segoe UI" w:hAnsi="Segoe UI" w:cs="Segoe UI"/>
          <w:color w:val="212121"/>
          <w:shd w:val="clear" w:color="auto" w:fill="FFFFFF"/>
        </w:rPr>
        <w:t xml:space="preserve"> L. A., Kuitunen-Paul, S., Eichler, A., Roessner, V., &amp; Golub, Y. (2021). Diagnostic Accuracy of the Drug Use Disorder Identification Test and Its Short Form, the DUDIT-C, in German A</w:t>
      </w:r>
      <w:r w:rsidR="00BB2BA7" w:rsidRPr="00312591">
        <w:rPr>
          <w:rFonts w:ascii="Segoe UI" w:hAnsi="Segoe UI" w:cs="Segoe UI"/>
          <w:color w:val="212121"/>
          <w:shd w:val="clear" w:color="auto" w:fill="FFFFFF"/>
        </w:rPr>
        <w:t xml:space="preserve">dolescent Psychiatric Patients. </w:t>
      </w:r>
      <w:r w:rsidRPr="00312591">
        <w:rPr>
          <w:rFonts w:ascii="Segoe UI" w:hAnsi="Segoe UI" w:cs="Segoe UI"/>
          <w:i/>
          <w:iCs/>
          <w:color w:val="212121"/>
          <w:shd w:val="clear" w:color="auto" w:fill="FFFFFF"/>
        </w:rPr>
        <w:t>Frontiers in psychology</w:t>
      </w:r>
      <w:r w:rsidR="00BB2BA7" w:rsidRPr="00312591">
        <w:rPr>
          <w:rFonts w:ascii="Segoe UI" w:hAnsi="Segoe UI" w:cs="Segoe UI"/>
          <w:color w:val="212121"/>
          <w:shd w:val="clear" w:color="auto" w:fill="FFFFFF"/>
        </w:rPr>
        <w:t>,</w:t>
      </w:r>
      <w:r w:rsidRPr="00312591">
        <w:rPr>
          <w:rFonts w:ascii="Segoe UI" w:hAnsi="Segoe UI" w:cs="Segoe UI"/>
          <w:i/>
          <w:iCs/>
          <w:color w:val="212121"/>
          <w:shd w:val="clear" w:color="auto" w:fill="FFFFFF"/>
        </w:rPr>
        <w:t>12</w:t>
      </w:r>
      <w:r w:rsidRPr="00312591">
        <w:rPr>
          <w:rFonts w:ascii="Segoe UI" w:hAnsi="Segoe UI" w:cs="Segoe UI"/>
          <w:color w:val="212121"/>
          <w:shd w:val="clear" w:color="auto" w:fill="FFFFFF"/>
        </w:rPr>
        <w:t xml:space="preserve">, </w:t>
      </w:r>
      <w:r w:rsidR="00577763" w:rsidRPr="00312591">
        <w:rPr>
          <w:rFonts w:ascii="Segoe UI" w:hAnsi="Segoe UI" w:cs="Segoe UI"/>
          <w:color w:val="212121"/>
          <w:shd w:val="clear" w:color="auto" w:fill="FFFFFF"/>
        </w:rPr>
        <w:t>e</w:t>
      </w:r>
      <w:r w:rsidRPr="00312591">
        <w:rPr>
          <w:rFonts w:ascii="Segoe UI" w:hAnsi="Segoe UI" w:cs="Segoe UI"/>
          <w:color w:val="212121"/>
          <w:shd w:val="clear" w:color="auto" w:fill="FFFFFF"/>
        </w:rPr>
        <w:t xml:space="preserve">678819. </w:t>
      </w:r>
      <w:hyperlink r:id="rId13" w:history="1">
        <w:r w:rsidRPr="00312591">
          <w:rPr>
            <w:rStyle w:val="Hipervnculo"/>
            <w:rFonts w:ascii="Segoe UI" w:hAnsi="Segoe UI" w:cs="Segoe UI"/>
            <w:shd w:val="clear" w:color="auto" w:fill="FFFFFF"/>
          </w:rPr>
          <w:t>https://doi.org/10.3389/fpsyg.2021.678819</w:t>
        </w:r>
      </w:hyperlink>
      <w:r w:rsidRPr="00312591">
        <w:rPr>
          <w:rFonts w:ascii="Segoe UI" w:hAnsi="Segoe UI" w:cs="Segoe UI"/>
          <w:color w:val="212121"/>
          <w:shd w:val="clear" w:color="auto" w:fill="FFFFFF"/>
        </w:rPr>
        <w:t xml:space="preserve"> </w:t>
      </w:r>
    </w:p>
    <w:p w14:paraId="72326638" w14:textId="77777777" w:rsidR="00D616D0" w:rsidRPr="00312591" w:rsidRDefault="00785CDA" w:rsidP="00BB2BA7">
      <w:pPr>
        <w:pStyle w:val="Piedepgina"/>
        <w:spacing w:after="120" w:line="276" w:lineRule="auto"/>
        <w:ind w:left="720" w:hanging="720"/>
        <w:rPr>
          <w:rFonts w:cs="Calibri"/>
          <w:noProof/>
          <w:sz w:val="24"/>
          <w:szCs w:val="24"/>
          <w:lang w:val="es-ES_tradnl"/>
        </w:rPr>
      </w:pPr>
      <w:proofErr w:type="spellStart"/>
      <w:r w:rsidRPr="00312591">
        <w:rPr>
          <w:rFonts w:cs="Calibri"/>
          <w:sz w:val="24"/>
          <w:szCs w:val="24"/>
        </w:rPr>
        <w:t>Bezusova</w:t>
      </w:r>
      <w:proofErr w:type="spellEnd"/>
      <w:r w:rsidRPr="00312591">
        <w:rPr>
          <w:rFonts w:cs="Calibri"/>
          <w:sz w:val="24"/>
          <w:szCs w:val="24"/>
        </w:rPr>
        <w:t xml:space="preserve">, T; </w:t>
      </w:r>
      <w:proofErr w:type="spellStart"/>
      <w:r w:rsidRPr="00312591">
        <w:rPr>
          <w:rFonts w:cs="Calibri"/>
          <w:sz w:val="24"/>
          <w:szCs w:val="24"/>
        </w:rPr>
        <w:t>Vatina</w:t>
      </w:r>
      <w:proofErr w:type="spellEnd"/>
      <w:r w:rsidRPr="00312591">
        <w:rPr>
          <w:rFonts w:cs="Calibri"/>
          <w:sz w:val="24"/>
          <w:szCs w:val="24"/>
        </w:rPr>
        <w:t xml:space="preserve">, E; </w:t>
      </w:r>
      <w:proofErr w:type="spellStart"/>
      <w:r w:rsidRPr="00312591">
        <w:rPr>
          <w:rFonts w:cs="Calibri"/>
          <w:sz w:val="24"/>
          <w:szCs w:val="24"/>
        </w:rPr>
        <w:t>Narykova</w:t>
      </w:r>
      <w:proofErr w:type="spellEnd"/>
      <w:r w:rsidRPr="00312591">
        <w:rPr>
          <w:rFonts w:cs="Calibri"/>
          <w:sz w:val="24"/>
          <w:szCs w:val="24"/>
        </w:rPr>
        <w:t>, G; Maltseva, N; Petrova, O. (2021). Psychological and Pedagogical Foundations of Preventive Work in Educational Institutions.</w:t>
      </w:r>
      <w:r w:rsidRPr="00312591">
        <w:rPr>
          <w:rFonts w:cs="Calibri"/>
          <w:sz w:val="24"/>
          <w:szCs w:val="24"/>
          <w:u w:val="single"/>
        </w:rPr>
        <w:t xml:space="preserve"> </w:t>
      </w:r>
      <w:r w:rsidRPr="00312591">
        <w:rPr>
          <w:rFonts w:cs="Calibri"/>
          <w:i/>
          <w:sz w:val="24"/>
          <w:lang w:val="es-ES"/>
        </w:rPr>
        <w:t xml:space="preserve">Revista </w:t>
      </w:r>
      <w:proofErr w:type="spellStart"/>
      <w:r w:rsidRPr="00312591">
        <w:rPr>
          <w:rFonts w:cs="Calibri"/>
          <w:i/>
          <w:sz w:val="24"/>
          <w:lang w:val="es-ES"/>
        </w:rPr>
        <w:t>on</w:t>
      </w:r>
      <w:proofErr w:type="spellEnd"/>
      <w:r w:rsidRPr="00312591">
        <w:rPr>
          <w:rFonts w:cs="Calibri"/>
          <w:i/>
          <w:sz w:val="24"/>
          <w:lang w:val="es-ES"/>
        </w:rPr>
        <w:t xml:space="preserve"> line de Política e </w:t>
      </w:r>
      <w:proofErr w:type="spellStart"/>
      <w:r w:rsidRPr="00312591">
        <w:rPr>
          <w:rFonts w:cs="Calibri"/>
          <w:i/>
          <w:sz w:val="24"/>
          <w:lang w:val="es-ES"/>
        </w:rPr>
        <w:t>Gestao</w:t>
      </w:r>
      <w:proofErr w:type="spellEnd"/>
      <w:r w:rsidRPr="00312591">
        <w:rPr>
          <w:rFonts w:cs="Calibri"/>
          <w:i/>
          <w:sz w:val="24"/>
          <w:lang w:val="es-ES"/>
        </w:rPr>
        <w:t xml:space="preserve"> Educacional, </w:t>
      </w:r>
      <w:proofErr w:type="spellStart"/>
      <w:r w:rsidRPr="00312591">
        <w:rPr>
          <w:rFonts w:cs="Calibri"/>
          <w:i/>
          <w:sz w:val="24"/>
          <w:lang w:val="es-ES"/>
        </w:rPr>
        <w:t>Araraguara</w:t>
      </w:r>
      <w:proofErr w:type="spellEnd"/>
      <w:r w:rsidRPr="00312591">
        <w:rPr>
          <w:rFonts w:cs="Calibri"/>
          <w:i/>
          <w:sz w:val="24"/>
          <w:lang w:val="es-ES"/>
        </w:rPr>
        <w:t>,</w:t>
      </w:r>
      <w:r w:rsidRPr="00312591">
        <w:rPr>
          <w:rFonts w:cs="Calibri"/>
          <w:sz w:val="24"/>
          <w:szCs w:val="24"/>
          <w:lang w:val="es-ES"/>
        </w:rPr>
        <w:t xml:space="preserve"> </w:t>
      </w:r>
      <w:r w:rsidRPr="00312591">
        <w:rPr>
          <w:rFonts w:cs="Calibri"/>
          <w:i/>
          <w:iCs/>
          <w:sz w:val="24"/>
          <w:szCs w:val="24"/>
          <w:lang w:val="es-ES"/>
        </w:rPr>
        <w:t>25</w:t>
      </w:r>
      <w:r w:rsidRPr="00312591">
        <w:rPr>
          <w:rFonts w:cs="Calibri"/>
          <w:sz w:val="24"/>
          <w:szCs w:val="24"/>
          <w:lang w:val="es-ES"/>
        </w:rPr>
        <w:t xml:space="preserve"> (3), 2428-2442.</w:t>
      </w:r>
      <w:r w:rsidR="00577763" w:rsidRPr="00312591">
        <w:rPr>
          <w:rFonts w:cs="Calibri"/>
          <w:sz w:val="24"/>
          <w:szCs w:val="24"/>
          <w:lang w:val="es-ES"/>
        </w:rPr>
        <w:t xml:space="preserve"> </w:t>
      </w:r>
      <w:hyperlink r:id="rId14" w:history="1">
        <w:r w:rsidRPr="00312591">
          <w:rPr>
            <w:rStyle w:val="Hipervnculo"/>
            <w:rFonts w:cs="Calibri"/>
            <w:noProof/>
            <w:sz w:val="24"/>
            <w:szCs w:val="24"/>
            <w:lang w:val="es-ES"/>
          </w:rPr>
          <w:t>https://doi.org/10.22633/rpge.v25i2.15922</w:t>
        </w:r>
      </w:hyperlink>
    </w:p>
    <w:p w14:paraId="1288572A" w14:textId="77777777" w:rsidR="00D616D0" w:rsidRPr="00312591" w:rsidRDefault="00785CDA" w:rsidP="00BB2BA7">
      <w:pPr>
        <w:pStyle w:val="Bibliografa"/>
        <w:spacing w:after="120"/>
        <w:ind w:left="720" w:right="50" w:hanging="720"/>
        <w:jc w:val="both"/>
        <w:rPr>
          <w:noProof/>
          <w:sz w:val="24"/>
          <w:szCs w:val="24"/>
          <w:lang w:val="es-ES"/>
        </w:rPr>
      </w:pPr>
      <w:r w:rsidRPr="00312591">
        <w:rPr>
          <w:noProof/>
          <w:sz w:val="24"/>
          <w:szCs w:val="24"/>
          <w:lang w:val="es-ES_tradnl"/>
        </w:rPr>
        <w:t xml:space="preserve">Cango, A y Suárez, N. (2021). Consumo de drogas en estudiantes ecuatorianos. Una alternativa de prevención y desarrollo resiliente del alumnado desde la escuela. </w:t>
      </w:r>
      <w:r w:rsidRPr="00312591">
        <w:rPr>
          <w:i/>
          <w:iCs/>
          <w:noProof/>
          <w:sz w:val="24"/>
          <w:szCs w:val="24"/>
          <w:lang w:val="es-ES_tradnl"/>
        </w:rPr>
        <w:t>Revista de Estudios y Expe</w:t>
      </w:r>
      <w:r w:rsidR="00577763" w:rsidRPr="00312591">
        <w:rPr>
          <w:i/>
          <w:iCs/>
          <w:noProof/>
          <w:sz w:val="24"/>
          <w:szCs w:val="24"/>
          <w:lang w:val="es-ES_tradnl"/>
        </w:rPr>
        <w:t>riencias en Educación. REXE, 20</w:t>
      </w:r>
      <w:r w:rsidRPr="00312591">
        <w:rPr>
          <w:noProof/>
          <w:sz w:val="24"/>
          <w:szCs w:val="24"/>
          <w:lang w:val="es-ES_tradnl"/>
        </w:rPr>
        <w:t xml:space="preserve">(44), 364-383. </w:t>
      </w:r>
      <w:hyperlink r:id="rId15" w:history="1">
        <w:r w:rsidRPr="00312591">
          <w:rPr>
            <w:rStyle w:val="Hipervnculo"/>
            <w:noProof/>
            <w:sz w:val="24"/>
            <w:szCs w:val="24"/>
            <w:lang w:val="es-ES"/>
          </w:rPr>
          <w:t>https://doi.org/10.21703/0718-5162.(v.20.n43/2021.021)</w:t>
        </w:r>
      </w:hyperlink>
    </w:p>
    <w:p w14:paraId="138495D7" w14:textId="77777777" w:rsidR="00D616D0" w:rsidRPr="00312591" w:rsidRDefault="00785CDA" w:rsidP="00BB2BA7">
      <w:pPr>
        <w:pStyle w:val="Prrafodelista11"/>
        <w:tabs>
          <w:tab w:val="left" w:pos="426"/>
        </w:tabs>
        <w:spacing w:after="120" w:line="276" w:lineRule="auto"/>
        <w:ind w:hanging="720"/>
        <w:contextualSpacing w:val="0"/>
        <w:jc w:val="both"/>
        <w:rPr>
          <w:rFonts w:eastAsia="SimSun" w:cs="Calibri"/>
          <w:sz w:val="24"/>
          <w:szCs w:val="24"/>
        </w:rPr>
      </w:pPr>
      <w:r w:rsidRPr="00312591">
        <w:rPr>
          <w:rFonts w:eastAsia="SimSun" w:cs="Calibri"/>
          <w:sz w:val="24"/>
          <w:szCs w:val="24"/>
        </w:rPr>
        <w:t>Castro, P.</w:t>
      </w:r>
      <w:r w:rsidR="00321037" w:rsidRPr="00312591">
        <w:rPr>
          <w:rFonts w:eastAsia="SimSun" w:cs="Calibri"/>
          <w:sz w:val="24"/>
          <w:szCs w:val="24"/>
        </w:rPr>
        <w:t xml:space="preserve"> </w:t>
      </w:r>
      <w:r w:rsidRPr="00312591">
        <w:rPr>
          <w:rFonts w:eastAsia="SimSun" w:cs="Calibri"/>
          <w:sz w:val="24"/>
          <w:szCs w:val="24"/>
        </w:rPr>
        <w:t>L.; Castillo, M.; Álvarez, L. (2019). La conducción de la labor educativa con la participación de los colectivos escolares y comunitarios. Pueblo y Educación.</w:t>
      </w:r>
    </w:p>
    <w:p w14:paraId="607519B1" w14:textId="77777777" w:rsidR="00D616D0" w:rsidRPr="00312591" w:rsidRDefault="00785CDA" w:rsidP="00BB2BA7">
      <w:pPr>
        <w:pStyle w:val="Bibliografa"/>
        <w:spacing w:after="120"/>
        <w:ind w:left="720" w:right="50" w:hanging="720"/>
        <w:jc w:val="both"/>
        <w:rPr>
          <w:rStyle w:val="Hipervnculo"/>
          <w:noProof/>
          <w:sz w:val="24"/>
          <w:szCs w:val="24"/>
          <w:lang w:val="es-ES_tradnl"/>
        </w:rPr>
      </w:pPr>
      <w:r w:rsidRPr="00312591">
        <w:rPr>
          <w:noProof/>
          <w:sz w:val="24"/>
          <w:szCs w:val="24"/>
          <w:lang w:val="es-ES_tradnl"/>
        </w:rPr>
        <w:t xml:space="preserve">Ceregido-Reyes, A; Valiente-Sandó, P; Vega-De la Cruz, L.O. (2020). </w:t>
      </w:r>
      <w:r w:rsidRPr="00312591">
        <w:rPr>
          <w:rFonts w:cs="Calibri"/>
          <w:bCs/>
          <w:iCs/>
          <w:color w:val="000000"/>
          <w:sz w:val="24"/>
          <w:szCs w:val="24"/>
          <w:lang w:val="es-ES"/>
        </w:rPr>
        <w:t>Gestión de riesgos en la contratación en empresas constructoras: variables de</w:t>
      </w:r>
      <w:r w:rsidRPr="00312591">
        <w:rPr>
          <w:rFonts w:cs="Calibri"/>
          <w:color w:val="000000"/>
          <w:sz w:val="24"/>
          <w:szCs w:val="24"/>
          <w:lang w:val="es-ES"/>
        </w:rPr>
        <w:t xml:space="preserve"> </w:t>
      </w:r>
      <w:r w:rsidRPr="00312591">
        <w:rPr>
          <w:rFonts w:cs="Calibri"/>
          <w:bCs/>
          <w:iCs/>
          <w:color w:val="000000"/>
          <w:sz w:val="24"/>
          <w:szCs w:val="24"/>
          <w:lang w:val="es-ES"/>
        </w:rPr>
        <w:t>diagnóstico</w:t>
      </w:r>
      <w:r w:rsidRPr="00312591">
        <w:rPr>
          <w:rFonts w:cs="Calibri"/>
          <w:noProof/>
          <w:sz w:val="24"/>
          <w:szCs w:val="24"/>
          <w:lang w:val="es-ES_tradnl"/>
        </w:rPr>
        <w:t>.</w:t>
      </w:r>
      <w:r w:rsidRPr="00312591">
        <w:rPr>
          <w:noProof/>
          <w:sz w:val="24"/>
          <w:szCs w:val="24"/>
          <w:lang w:val="es-ES_tradnl"/>
        </w:rPr>
        <w:t xml:space="preserve"> </w:t>
      </w:r>
      <w:r w:rsidRPr="00312591">
        <w:rPr>
          <w:i/>
          <w:iCs/>
          <w:noProof/>
          <w:sz w:val="24"/>
          <w:szCs w:val="24"/>
          <w:lang w:val="es-ES_tradnl"/>
        </w:rPr>
        <w:t xml:space="preserve">Revista Ciencias Holguín, 26 </w:t>
      </w:r>
      <w:r w:rsidRPr="00312591">
        <w:rPr>
          <w:noProof/>
          <w:sz w:val="24"/>
          <w:szCs w:val="24"/>
          <w:lang w:val="es-ES_tradnl"/>
        </w:rPr>
        <w:t xml:space="preserve">(1), 1-14. </w:t>
      </w:r>
      <w:hyperlink r:id="rId16" w:history="1">
        <w:r w:rsidRPr="00312591">
          <w:rPr>
            <w:rStyle w:val="Hipervnculo"/>
            <w:noProof/>
            <w:sz w:val="24"/>
            <w:szCs w:val="24"/>
            <w:lang w:val="es-ES_tradnl"/>
          </w:rPr>
          <w:t>https://www.redalyc.org/articulo.oa?id=181562407001</w:t>
        </w:r>
      </w:hyperlink>
    </w:p>
    <w:p w14:paraId="07678B2C" w14:textId="77777777" w:rsidR="00D616D0" w:rsidRPr="00312591" w:rsidRDefault="00785CDA" w:rsidP="00BB2BA7">
      <w:pPr>
        <w:widowControl/>
        <w:spacing w:after="120"/>
        <w:ind w:left="720" w:hanging="720"/>
        <w:jc w:val="both"/>
        <w:rPr>
          <w:rFonts w:eastAsia="Times New Roman" w:cs="Calibri"/>
          <w:sz w:val="24"/>
          <w:szCs w:val="24"/>
          <w:lang w:val="es-ES" w:eastAsia="es-MX"/>
        </w:rPr>
      </w:pPr>
      <w:r w:rsidRPr="00312591">
        <w:rPr>
          <w:rFonts w:eastAsia="Times New Roman" w:cs="Calibri"/>
          <w:sz w:val="24"/>
          <w:szCs w:val="24"/>
          <w:lang w:val="es-ES" w:eastAsia="es-MX"/>
        </w:rPr>
        <w:t xml:space="preserve">Contraloría General de la República de Cuba. (2011). Resolución 60. </w:t>
      </w:r>
      <w:r w:rsidRPr="00312591">
        <w:rPr>
          <w:rFonts w:eastAsia="Times New Roman" w:cs="Calibri"/>
          <w:i/>
          <w:sz w:val="24"/>
          <w:szCs w:val="24"/>
          <w:lang w:val="es-ES" w:eastAsia="es-MX"/>
        </w:rPr>
        <w:t>Gaceta Oficial de la República de Cuba</w:t>
      </w:r>
      <w:r w:rsidRPr="00312591">
        <w:rPr>
          <w:rFonts w:eastAsia="Times New Roman" w:cs="Calibri"/>
          <w:sz w:val="24"/>
          <w:szCs w:val="24"/>
          <w:lang w:val="es-ES" w:eastAsia="es-MX"/>
        </w:rPr>
        <w:t>, 013, Extraordinaria. La Habana.</w:t>
      </w:r>
    </w:p>
    <w:p w14:paraId="2A52D1BB" w14:textId="77777777" w:rsidR="00C156FA" w:rsidRPr="00312591" w:rsidRDefault="00785CDA" w:rsidP="00C156FA">
      <w:pPr>
        <w:pStyle w:val="Bibliografa"/>
        <w:spacing w:after="120"/>
        <w:ind w:left="720" w:right="51" w:hanging="720"/>
        <w:rPr>
          <w:rFonts w:asciiTheme="minorHAnsi" w:hAnsiTheme="minorHAnsi" w:cstheme="minorHAnsi"/>
          <w:sz w:val="24"/>
          <w:szCs w:val="24"/>
          <w:lang w:val="es-ES"/>
        </w:rPr>
      </w:pPr>
      <w:r w:rsidRPr="00312591">
        <w:rPr>
          <w:rFonts w:cs="Calibri"/>
          <w:sz w:val="24"/>
          <w:lang w:val="es-ES_tradnl"/>
        </w:rPr>
        <w:t xml:space="preserve">Díaz-Vicario, A. (2015). </w:t>
      </w:r>
      <w:r w:rsidRPr="00312591">
        <w:rPr>
          <w:rFonts w:cs="Calibri"/>
          <w:color w:val="000000"/>
          <w:sz w:val="24"/>
          <w:lang w:val="es-ES"/>
        </w:rPr>
        <w:t>La gestión de la seguridad integral en los centros educativos. Facilitadores y Obstaculizadores.</w:t>
      </w:r>
      <w:r w:rsidRPr="00312591">
        <w:rPr>
          <w:i/>
          <w:iCs/>
          <w:noProof/>
          <w:sz w:val="24"/>
          <w:szCs w:val="24"/>
          <w:lang w:val="es-ES_tradnl"/>
        </w:rPr>
        <w:t xml:space="preserve"> </w:t>
      </w:r>
      <w:r w:rsidRPr="00312591">
        <w:rPr>
          <w:sz w:val="24"/>
          <w:szCs w:val="24"/>
          <w:lang w:val="es-ES_tradnl"/>
        </w:rPr>
        <w:t>[</w:t>
      </w:r>
      <w:r w:rsidRPr="00312591">
        <w:rPr>
          <w:rFonts w:ascii="Times New Roman" w:hAnsi="Times New Roman"/>
          <w:sz w:val="24"/>
          <w:szCs w:val="24"/>
          <w:lang w:val="es-ES_tradnl"/>
        </w:rPr>
        <w:t>tesis de doctora</w:t>
      </w:r>
      <w:r w:rsidR="00397D70" w:rsidRPr="00312591">
        <w:rPr>
          <w:rFonts w:ascii="Times New Roman" w:hAnsi="Times New Roman"/>
          <w:sz w:val="24"/>
          <w:szCs w:val="24"/>
          <w:lang w:val="es-ES_tradnl"/>
        </w:rPr>
        <w:t>l inédita]</w:t>
      </w:r>
      <w:r w:rsidRPr="00312591">
        <w:rPr>
          <w:rFonts w:ascii="Times New Roman" w:hAnsi="Times New Roman"/>
          <w:sz w:val="24"/>
          <w:szCs w:val="24"/>
          <w:lang w:val="es-ES_tradnl"/>
        </w:rPr>
        <w:t xml:space="preserve">, </w:t>
      </w:r>
      <w:r w:rsidRPr="00312591">
        <w:rPr>
          <w:rFonts w:ascii="Times New Roman" w:hAnsi="Times New Roman"/>
          <w:noProof/>
          <w:sz w:val="24"/>
          <w:szCs w:val="24"/>
          <w:lang w:val="es-ES_tradnl"/>
        </w:rPr>
        <w:t>Universidad Autónoma de Barcelona</w:t>
      </w:r>
      <w:r w:rsidRPr="00312591">
        <w:rPr>
          <w:rFonts w:ascii="Times New Roman" w:hAnsi="Times New Roman"/>
          <w:sz w:val="24"/>
          <w:szCs w:val="24"/>
          <w:lang w:val="es-ES_tradnl"/>
        </w:rPr>
        <w:t xml:space="preserve">. </w:t>
      </w:r>
      <w:r w:rsidRPr="00312591">
        <w:rPr>
          <w:rStyle w:val="w-text-value"/>
          <w:rFonts w:ascii="Times New Roman" w:hAnsi="Times New Roman"/>
          <w:sz w:val="24"/>
          <w:szCs w:val="24"/>
          <w:lang w:val="es-419"/>
        </w:rPr>
        <w:t>Centro de</w:t>
      </w:r>
      <w:r w:rsidRPr="00312591">
        <w:rPr>
          <w:rStyle w:val="w-text-value"/>
          <w:rFonts w:ascii="Times New Roman" w:hAnsi="Times New Roman"/>
          <w:color w:val="FFFFFF"/>
          <w:sz w:val="24"/>
          <w:szCs w:val="24"/>
          <w:lang w:val="es-419"/>
        </w:rPr>
        <w:t xml:space="preserve"> </w:t>
      </w:r>
      <w:r w:rsidRPr="00312591">
        <w:rPr>
          <w:rStyle w:val="w-text-value"/>
          <w:rFonts w:ascii="Times New Roman" w:hAnsi="Times New Roman"/>
          <w:sz w:val="24"/>
          <w:szCs w:val="24"/>
          <w:lang w:val="es-419"/>
        </w:rPr>
        <w:t xml:space="preserve">Investigación y Estudios por el Desarrollo Organizativo. </w:t>
      </w:r>
      <w:hyperlink r:id="rId17" w:history="1">
        <w:r w:rsidRPr="00312591">
          <w:rPr>
            <w:rStyle w:val="Hipervnculo"/>
            <w:rFonts w:asciiTheme="minorHAnsi" w:hAnsiTheme="minorHAnsi" w:cstheme="minorHAnsi"/>
            <w:noProof/>
            <w:sz w:val="24"/>
            <w:szCs w:val="24"/>
            <w:lang w:val="es-ES"/>
          </w:rPr>
          <w:t>https://hdl.handle.net/10803/308315</w:t>
        </w:r>
      </w:hyperlink>
    </w:p>
    <w:p w14:paraId="4644B5FF" w14:textId="77777777" w:rsidR="00D616D0" w:rsidRPr="00312591" w:rsidRDefault="00785CDA" w:rsidP="00C156FA">
      <w:pPr>
        <w:pStyle w:val="Bibliografa"/>
        <w:spacing w:after="120"/>
        <w:ind w:left="720" w:right="51" w:hanging="720"/>
        <w:rPr>
          <w:rFonts w:cs="Calibri"/>
          <w:noProof/>
          <w:sz w:val="28"/>
          <w:szCs w:val="28"/>
        </w:rPr>
      </w:pPr>
      <w:proofErr w:type="spellStart"/>
      <w:r w:rsidRPr="00312591">
        <w:rPr>
          <w:rFonts w:cs="Calibri"/>
          <w:sz w:val="24"/>
          <w:lang w:val="es-ES"/>
        </w:rPr>
        <w:t>Gephart</w:t>
      </w:r>
      <w:proofErr w:type="spellEnd"/>
      <w:r w:rsidRPr="00312591">
        <w:rPr>
          <w:rFonts w:cs="Calibri"/>
          <w:sz w:val="24"/>
          <w:lang w:val="es-ES"/>
        </w:rPr>
        <w:t>,</w:t>
      </w:r>
      <w:r w:rsidRPr="00312591">
        <w:rPr>
          <w:rFonts w:cs="Calibri"/>
          <w:sz w:val="24"/>
          <w:szCs w:val="24"/>
          <w:shd w:val="clear" w:color="auto" w:fill="FFFFFF"/>
          <w:lang w:val="es-ES"/>
        </w:rPr>
        <w:t xml:space="preserve"> </w:t>
      </w:r>
      <w:r w:rsidRPr="00312591">
        <w:rPr>
          <w:rFonts w:cs="Calibri"/>
          <w:color w:val="333333"/>
          <w:sz w:val="24"/>
          <w:szCs w:val="24"/>
          <w:shd w:val="clear" w:color="auto" w:fill="FFFFFF"/>
          <w:lang w:val="es-ES"/>
        </w:rPr>
        <w:t xml:space="preserve">R. P., Van Maanen, J., &amp; </w:t>
      </w:r>
      <w:proofErr w:type="spellStart"/>
      <w:r w:rsidRPr="00312591">
        <w:rPr>
          <w:rFonts w:cs="Calibri"/>
          <w:color w:val="333333"/>
          <w:sz w:val="24"/>
          <w:szCs w:val="24"/>
          <w:shd w:val="clear" w:color="auto" w:fill="FFFFFF"/>
          <w:lang w:val="es-ES"/>
        </w:rPr>
        <w:t>Oberlechner</w:t>
      </w:r>
      <w:proofErr w:type="spellEnd"/>
      <w:r w:rsidRPr="00312591">
        <w:rPr>
          <w:rFonts w:cs="Calibri"/>
          <w:color w:val="333333"/>
          <w:sz w:val="24"/>
          <w:szCs w:val="24"/>
          <w:shd w:val="clear" w:color="auto" w:fill="FFFFFF"/>
          <w:lang w:val="es-ES"/>
        </w:rPr>
        <w:t xml:space="preserve">, T. (2009). </w:t>
      </w:r>
      <w:r w:rsidRPr="00312591">
        <w:rPr>
          <w:rFonts w:cs="Calibri"/>
          <w:color w:val="333333"/>
          <w:sz w:val="24"/>
          <w:szCs w:val="24"/>
          <w:shd w:val="clear" w:color="auto" w:fill="FFFFFF"/>
        </w:rPr>
        <w:t>Organizati</w:t>
      </w:r>
      <w:r w:rsidR="00577763" w:rsidRPr="00312591">
        <w:rPr>
          <w:rFonts w:cs="Calibri"/>
          <w:color w:val="333333"/>
          <w:sz w:val="24"/>
          <w:szCs w:val="24"/>
          <w:shd w:val="clear" w:color="auto" w:fill="FFFFFF"/>
        </w:rPr>
        <w:t xml:space="preserve">ons and Risk in Late Modernity. </w:t>
      </w:r>
      <w:r w:rsidRPr="00312591">
        <w:rPr>
          <w:rFonts w:cs="Calibri"/>
          <w:i/>
          <w:iCs/>
          <w:color w:val="333333"/>
          <w:sz w:val="24"/>
          <w:szCs w:val="24"/>
          <w:shd w:val="clear" w:color="auto" w:fill="FFFFFF"/>
        </w:rPr>
        <w:t>Organization Studies</w:t>
      </w:r>
      <w:r w:rsidR="00577763" w:rsidRPr="00312591">
        <w:rPr>
          <w:rFonts w:cs="Calibri"/>
          <w:color w:val="333333"/>
          <w:sz w:val="24"/>
          <w:szCs w:val="24"/>
          <w:shd w:val="clear" w:color="auto" w:fill="FFFFFF"/>
        </w:rPr>
        <w:t xml:space="preserve">, </w:t>
      </w:r>
      <w:r w:rsidRPr="00312591">
        <w:rPr>
          <w:rFonts w:cs="Calibri"/>
          <w:i/>
          <w:iCs/>
          <w:color w:val="333333"/>
          <w:sz w:val="24"/>
          <w:szCs w:val="24"/>
          <w:shd w:val="clear" w:color="auto" w:fill="FFFFFF"/>
        </w:rPr>
        <w:t>30</w:t>
      </w:r>
      <w:r w:rsidRPr="00312591">
        <w:rPr>
          <w:rFonts w:cs="Calibri"/>
          <w:color w:val="333333"/>
          <w:sz w:val="24"/>
          <w:szCs w:val="24"/>
          <w:shd w:val="clear" w:color="auto" w:fill="FFFFFF"/>
        </w:rPr>
        <w:t xml:space="preserve">(2-3), 141-155. </w:t>
      </w:r>
      <w:hyperlink r:id="rId18" w:history="1">
        <w:r w:rsidRPr="00312591">
          <w:rPr>
            <w:rStyle w:val="Hipervnculo"/>
            <w:rFonts w:cs="Calibri"/>
            <w:sz w:val="24"/>
            <w:szCs w:val="24"/>
            <w:shd w:val="clear" w:color="auto" w:fill="FFFFFF"/>
          </w:rPr>
          <w:t>https://doi.org/10.1177/0170840608101474</w:t>
        </w:r>
      </w:hyperlink>
    </w:p>
    <w:p w14:paraId="5506C0EA" w14:textId="77777777" w:rsidR="00D616D0" w:rsidRPr="00312591" w:rsidRDefault="00785CDA" w:rsidP="00857C70">
      <w:pPr>
        <w:pStyle w:val="Piedepgina"/>
        <w:spacing w:after="120" w:line="276" w:lineRule="auto"/>
        <w:ind w:left="720" w:hanging="720"/>
        <w:rPr>
          <w:rStyle w:val="Hipervnculo"/>
          <w:rFonts w:cs="Calibri"/>
          <w:noProof/>
          <w:sz w:val="24"/>
          <w:szCs w:val="24"/>
          <w:lang w:val="es-ES"/>
        </w:rPr>
      </w:pPr>
      <w:r w:rsidRPr="00312591">
        <w:rPr>
          <w:rFonts w:cs="Calibri"/>
          <w:sz w:val="24"/>
        </w:rPr>
        <w:t xml:space="preserve">Gurcan, S; (2016). A Study on Substance Abuse Prevention.  </w:t>
      </w:r>
      <w:proofErr w:type="spellStart"/>
      <w:r w:rsidRPr="00312591">
        <w:rPr>
          <w:rFonts w:cs="Calibri"/>
          <w:i/>
          <w:sz w:val="24"/>
        </w:rPr>
        <w:t>Revista</w:t>
      </w:r>
      <w:proofErr w:type="spellEnd"/>
      <w:r w:rsidRPr="00312591">
        <w:rPr>
          <w:rFonts w:cs="Calibri"/>
          <w:i/>
          <w:sz w:val="24"/>
        </w:rPr>
        <w:t xml:space="preserve"> EURASIA Journal of Mathematics Science and </w:t>
      </w:r>
      <w:proofErr w:type="spellStart"/>
      <w:r w:rsidRPr="00312591">
        <w:rPr>
          <w:rFonts w:cs="Calibri"/>
          <w:i/>
          <w:sz w:val="24"/>
        </w:rPr>
        <w:t>Technologí</w:t>
      </w:r>
      <w:r w:rsidR="00857C70" w:rsidRPr="00312591">
        <w:rPr>
          <w:rFonts w:cs="Calibri"/>
          <w:i/>
          <w:sz w:val="24"/>
        </w:rPr>
        <w:t>c</w:t>
      </w:r>
      <w:r w:rsidRPr="00312591">
        <w:rPr>
          <w:rFonts w:cs="Calibri"/>
          <w:i/>
          <w:sz w:val="24"/>
        </w:rPr>
        <w:t>a</w:t>
      </w:r>
      <w:r w:rsidR="00857C70" w:rsidRPr="00312591">
        <w:rPr>
          <w:rFonts w:cs="Calibri"/>
          <w:i/>
          <w:sz w:val="24"/>
        </w:rPr>
        <w:t>l</w:t>
      </w:r>
      <w:proofErr w:type="spellEnd"/>
      <w:r w:rsidRPr="00312591">
        <w:rPr>
          <w:rFonts w:cs="Calibri"/>
          <w:i/>
          <w:sz w:val="24"/>
        </w:rPr>
        <w:t xml:space="preserve"> Education,</w:t>
      </w:r>
      <w:r w:rsidRPr="00312591">
        <w:rPr>
          <w:rFonts w:cs="Calibri"/>
          <w:sz w:val="24"/>
          <w:szCs w:val="24"/>
        </w:rPr>
        <w:t xml:space="preserve"> 13 (6), 2485-2504.</w:t>
      </w:r>
      <w:r w:rsidRPr="00312591">
        <w:rPr>
          <w:rFonts w:cs="Calibri"/>
          <w:noProof/>
          <w:color w:val="FF0000"/>
          <w:sz w:val="24"/>
          <w:szCs w:val="24"/>
        </w:rPr>
        <w:t xml:space="preserve"> </w:t>
      </w:r>
      <w:hyperlink r:id="rId19" w:history="1">
        <w:r w:rsidRPr="00312591">
          <w:rPr>
            <w:rStyle w:val="Hipervnculo"/>
            <w:rFonts w:cs="Calibri"/>
            <w:noProof/>
            <w:sz w:val="24"/>
            <w:szCs w:val="24"/>
            <w:lang w:val="es-ES"/>
          </w:rPr>
          <w:t>https://doi.org/10.12973/eurasia.2017.01236a</w:t>
        </w:r>
      </w:hyperlink>
    </w:p>
    <w:p w14:paraId="7F23C392" w14:textId="77777777" w:rsidR="00D616D0" w:rsidRPr="00312591" w:rsidRDefault="00785CDA" w:rsidP="00BB2BA7">
      <w:pPr>
        <w:spacing w:after="120"/>
        <w:ind w:left="720" w:hanging="720"/>
        <w:rPr>
          <w:noProof/>
          <w:color w:val="0070C0"/>
          <w:sz w:val="24"/>
          <w:szCs w:val="24"/>
          <w:u w:val="single"/>
          <w:lang w:val="es-ES"/>
        </w:rPr>
      </w:pPr>
      <w:r w:rsidRPr="00312591">
        <w:rPr>
          <w:noProof/>
          <w:sz w:val="24"/>
          <w:szCs w:val="24"/>
          <w:lang w:val="es-ES"/>
        </w:rPr>
        <w:t>Maneiro, L</w:t>
      </w:r>
      <w:r w:rsidRPr="00312591">
        <w:rPr>
          <w:sz w:val="24"/>
          <w:szCs w:val="24"/>
          <w:lang w:val="es-ES"/>
        </w:rPr>
        <w:t xml:space="preserve">. (2014). </w:t>
      </w:r>
      <w:r w:rsidRPr="00312591">
        <w:rPr>
          <w:rFonts w:cs="Calibri"/>
          <w:color w:val="231F20"/>
          <w:sz w:val="24"/>
          <w:szCs w:val="24"/>
          <w:lang w:val="es-ES"/>
        </w:rPr>
        <w:t>Evaluación y gestión del riesgo en adolescentes infractores</w:t>
      </w:r>
      <w:r w:rsidRPr="00312591">
        <w:rPr>
          <w:sz w:val="24"/>
          <w:szCs w:val="24"/>
          <w:lang w:val="es-ES"/>
        </w:rPr>
        <w:t xml:space="preserve">. </w:t>
      </w:r>
      <w:proofErr w:type="spellStart"/>
      <w:r w:rsidRPr="00312591">
        <w:rPr>
          <w:rFonts w:cs="Calibri"/>
          <w:i/>
          <w:color w:val="000000"/>
          <w:sz w:val="24"/>
          <w:szCs w:val="18"/>
          <w:lang w:val="es-ES"/>
        </w:rPr>
        <w:t>Cadernos</w:t>
      </w:r>
      <w:proofErr w:type="spellEnd"/>
      <w:r w:rsidRPr="00312591">
        <w:rPr>
          <w:rFonts w:cs="Calibri"/>
          <w:i/>
          <w:color w:val="000000"/>
          <w:sz w:val="24"/>
          <w:szCs w:val="18"/>
          <w:lang w:val="es-ES"/>
        </w:rPr>
        <w:t xml:space="preserve"> de </w:t>
      </w:r>
      <w:proofErr w:type="spellStart"/>
      <w:r w:rsidRPr="00312591">
        <w:rPr>
          <w:rFonts w:cs="Calibri"/>
          <w:i/>
          <w:color w:val="000000"/>
          <w:sz w:val="24"/>
          <w:szCs w:val="18"/>
          <w:lang w:val="es-ES"/>
        </w:rPr>
        <w:t>Dereito</w:t>
      </w:r>
      <w:proofErr w:type="spellEnd"/>
      <w:r w:rsidRPr="00312591">
        <w:rPr>
          <w:rFonts w:cs="Calibri"/>
          <w:i/>
          <w:color w:val="000000"/>
          <w:sz w:val="24"/>
          <w:szCs w:val="18"/>
          <w:lang w:val="es-ES"/>
        </w:rPr>
        <w:t xml:space="preserve"> Actual</w:t>
      </w:r>
      <w:r w:rsidRPr="00312591">
        <w:rPr>
          <w:i/>
          <w:iCs/>
          <w:noProof/>
          <w:sz w:val="24"/>
          <w:szCs w:val="24"/>
          <w:lang w:val="es-ES"/>
        </w:rPr>
        <w:t xml:space="preserve">, </w:t>
      </w:r>
      <w:r w:rsidRPr="00312591">
        <w:rPr>
          <w:noProof/>
          <w:sz w:val="24"/>
          <w:szCs w:val="24"/>
          <w:lang w:val="es-ES"/>
        </w:rPr>
        <w:t xml:space="preserve">(2), 143-159. </w:t>
      </w:r>
      <w:r w:rsidRPr="00312591">
        <w:rPr>
          <w:noProof/>
          <w:color w:val="0070C0"/>
          <w:sz w:val="24"/>
          <w:szCs w:val="24"/>
          <w:u w:val="single"/>
          <w:lang w:val="es-ES"/>
        </w:rPr>
        <w:t xml:space="preserve">https://www.cadernosdedereitoactual.es/index.php/cadernos/article/view/22 </w:t>
      </w:r>
    </w:p>
    <w:p w14:paraId="1A12ADD4" w14:textId="5B3E3D45" w:rsidR="00D616D0" w:rsidRPr="00312591" w:rsidRDefault="00785CDA" w:rsidP="00BB2BA7">
      <w:pPr>
        <w:pStyle w:val="Piedepgina"/>
        <w:spacing w:after="120" w:line="276" w:lineRule="auto"/>
        <w:ind w:left="720" w:hanging="720"/>
        <w:jc w:val="both"/>
        <w:rPr>
          <w:rStyle w:val="Hipervnculo"/>
          <w:rFonts w:cs="Calibri"/>
          <w:noProof/>
          <w:sz w:val="24"/>
          <w:szCs w:val="24"/>
          <w:lang w:val="es-ES_tradnl"/>
        </w:rPr>
      </w:pPr>
      <w:r w:rsidRPr="00312591">
        <w:rPr>
          <w:rFonts w:cs="Calibri"/>
          <w:sz w:val="24"/>
          <w:szCs w:val="24"/>
          <w:lang w:val="es-ES"/>
        </w:rPr>
        <w:t xml:space="preserve">Maturana, A. (2011). Consumo de alcohol y drogas en adolescentes. </w:t>
      </w:r>
      <w:r w:rsidRPr="00312591">
        <w:rPr>
          <w:rFonts w:cs="Calibri"/>
          <w:i/>
          <w:sz w:val="24"/>
          <w:szCs w:val="24"/>
          <w:lang w:val="es-ES"/>
        </w:rPr>
        <w:t>Revista Clínica Médica Las Condes</w:t>
      </w:r>
      <w:r w:rsidRPr="00312591">
        <w:rPr>
          <w:rFonts w:cs="Calibri"/>
          <w:sz w:val="24"/>
          <w:szCs w:val="24"/>
          <w:lang w:val="es-ES"/>
        </w:rPr>
        <w:t xml:space="preserve"> </w:t>
      </w:r>
      <w:r w:rsidRPr="00312591">
        <w:rPr>
          <w:rFonts w:cs="Calibri"/>
          <w:i/>
          <w:iCs/>
          <w:sz w:val="24"/>
          <w:szCs w:val="24"/>
          <w:lang w:val="es-ES"/>
        </w:rPr>
        <w:t>22</w:t>
      </w:r>
      <w:r w:rsidRPr="00312591">
        <w:rPr>
          <w:rFonts w:cs="Calibri"/>
          <w:sz w:val="24"/>
          <w:szCs w:val="24"/>
          <w:lang w:val="es-ES"/>
        </w:rPr>
        <w:t xml:space="preserve">(1), 98-109. </w:t>
      </w:r>
      <w:hyperlink r:id="rId20" w:history="1">
        <w:r w:rsidRPr="00312591">
          <w:rPr>
            <w:rStyle w:val="Hipervnculo"/>
            <w:rFonts w:cs="Calibri"/>
            <w:noProof/>
            <w:sz w:val="24"/>
            <w:szCs w:val="24"/>
            <w:lang w:val="es-ES_tradnl"/>
          </w:rPr>
          <w:t>https://doi.org/10.1016/s0716-8640(11)70397-2-</w:t>
        </w:r>
      </w:hyperlink>
    </w:p>
    <w:p w14:paraId="59A3662C" w14:textId="77777777" w:rsidR="00D616D0" w:rsidRPr="00312591" w:rsidRDefault="00785CDA" w:rsidP="00BB2BA7">
      <w:pPr>
        <w:pStyle w:val="Bibliografa"/>
        <w:spacing w:after="120"/>
        <w:ind w:left="720" w:right="50" w:hanging="720"/>
        <w:jc w:val="both"/>
        <w:rPr>
          <w:noProof/>
          <w:color w:val="0563C1"/>
          <w:sz w:val="24"/>
          <w:szCs w:val="24"/>
          <w:u w:val="single"/>
          <w:lang w:val="es-ES_tradnl"/>
        </w:rPr>
      </w:pPr>
      <w:r w:rsidRPr="00312591">
        <w:rPr>
          <w:rFonts w:eastAsia="SimSun" w:cs="Calibri"/>
          <w:sz w:val="24"/>
          <w:szCs w:val="24"/>
          <w:lang w:val="es-ES"/>
        </w:rPr>
        <w:t xml:space="preserve">MINED. (2017). Resolución Ministerial 111 del 2017. “Procedimiento general para el diseño, ejecución y control del trabajo preventivo en todos los niveles educativos del Sistema </w:t>
      </w:r>
      <w:r w:rsidRPr="00312591">
        <w:rPr>
          <w:rFonts w:eastAsia="SimSun" w:cs="Calibri"/>
          <w:sz w:val="24"/>
          <w:szCs w:val="24"/>
          <w:lang w:val="es-ES"/>
        </w:rPr>
        <w:lastRenderedPageBreak/>
        <w:t>Nacional de Educación”. La Habana. Cuba.</w:t>
      </w:r>
    </w:p>
    <w:p w14:paraId="6C937CC0" w14:textId="77777777" w:rsidR="00D616D0" w:rsidRPr="00312591" w:rsidRDefault="00785CDA" w:rsidP="00BB2BA7">
      <w:pPr>
        <w:pStyle w:val="Bibliografa"/>
        <w:spacing w:after="120"/>
        <w:ind w:left="720" w:right="50" w:hanging="720"/>
        <w:rPr>
          <w:noProof/>
          <w:color w:val="FF0000"/>
          <w:sz w:val="24"/>
          <w:szCs w:val="24"/>
        </w:rPr>
      </w:pPr>
      <w:r w:rsidRPr="00312591">
        <w:rPr>
          <w:noProof/>
          <w:sz w:val="24"/>
          <w:szCs w:val="24"/>
          <w:lang w:val="es-ES_tradnl"/>
        </w:rPr>
        <w:t>Moreta-Herrera, R;</w:t>
      </w:r>
      <w:r w:rsidRPr="00312591">
        <w:rPr>
          <w:sz w:val="24"/>
          <w:szCs w:val="24"/>
          <w:lang w:val="es-ES"/>
        </w:rPr>
        <w:t xml:space="preserve"> Mayorga-Lascano, M; León-Tamayo, L; </w:t>
      </w:r>
      <w:proofErr w:type="spellStart"/>
      <w:r w:rsidRPr="00312591">
        <w:rPr>
          <w:sz w:val="24"/>
          <w:szCs w:val="24"/>
          <w:lang w:val="es-ES"/>
        </w:rPr>
        <w:t>Ilaja</w:t>
      </w:r>
      <w:proofErr w:type="spellEnd"/>
      <w:r w:rsidRPr="00312591">
        <w:rPr>
          <w:sz w:val="24"/>
          <w:szCs w:val="24"/>
          <w:lang w:val="es-ES"/>
        </w:rPr>
        <w:t xml:space="preserve">-Verdesoto, B. (2018). Consumo de sustancias legales, ilegales y fármacos en adolescentes y factores de riesgo asociados a la exposición reciente. </w:t>
      </w:r>
      <w:r w:rsidRPr="00312591">
        <w:rPr>
          <w:i/>
          <w:iCs/>
          <w:noProof/>
          <w:sz w:val="24"/>
          <w:szCs w:val="24"/>
        </w:rPr>
        <w:t xml:space="preserve">Health an Addictions, 18 </w:t>
      </w:r>
      <w:r w:rsidRPr="00312591">
        <w:rPr>
          <w:noProof/>
          <w:sz w:val="24"/>
          <w:szCs w:val="24"/>
        </w:rPr>
        <w:t xml:space="preserve">(1), 39-50. </w:t>
      </w:r>
      <w:hyperlink r:id="rId21" w:history="1">
        <w:r w:rsidRPr="00312591">
          <w:rPr>
            <w:rStyle w:val="Hipervnculo"/>
            <w:noProof/>
            <w:sz w:val="24"/>
            <w:szCs w:val="24"/>
          </w:rPr>
          <w:t>https://doi.org/10.21134/haaj.v18i.333</w:t>
        </w:r>
      </w:hyperlink>
    </w:p>
    <w:p w14:paraId="7125B8A0" w14:textId="77777777" w:rsidR="00D616D0" w:rsidRPr="00312591" w:rsidRDefault="00785CDA" w:rsidP="00BB2BA7">
      <w:pPr>
        <w:pStyle w:val="Prrafodelista11"/>
        <w:tabs>
          <w:tab w:val="left" w:pos="426"/>
        </w:tabs>
        <w:spacing w:after="120" w:line="276" w:lineRule="auto"/>
        <w:ind w:hanging="720"/>
        <w:contextualSpacing w:val="0"/>
        <w:jc w:val="both"/>
        <w:rPr>
          <w:rFonts w:eastAsia="SimSun" w:cs="Calibri"/>
          <w:sz w:val="24"/>
          <w:szCs w:val="24"/>
        </w:rPr>
      </w:pPr>
      <w:r w:rsidRPr="00312591">
        <w:rPr>
          <w:rFonts w:eastAsia="SimSun" w:cs="Calibri"/>
          <w:sz w:val="24"/>
          <w:szCs w:val="24"/>
          <w:lang w:val="en-US"/>
        </w:rPr>
        <w:t>Navarro, S.</w:t>
      </w:r>
      <w:r w:rsidR="00BC6962" w:rsidRPr="00312591">
        <w:rPr>
          <w:rFonts w:eastAsia="SimSun" w:cs="Calibri"/>
          <w:sz w:val="24"/>
          <w:szCs w:val="24"/>
          <w:lang w:val="en-US"/>
        </w:rPr>
        <w:t xml:space="preserve"> </w:t>
      </w:r>
      <w:r w:rsidRPr="00312591">
        <w:rPr>
          <w:rFonts w:eastAsia="SimSun" w:cs="Calibri"/>
          <w:sz w:val="24"/>
          <w:szCs w:val="24"/>
          <w:lang w:val="en-US"/>
        </w:rPr>
        <w:t xml:space="preserve">M; Valle, A; García, S; Juanes, I. (2021). </w:t>
      </w:r>
      <w:r w:rsidRPr="00312591">
        <w:rPr>
          <w:rFonts w:eastAsia="SimSun" w:cs="Calibri"/>
          <w:sz w:val="24"/>
          <w:szCs w:val="24"/>
        </w:rPr>
        <w:t>La investigación sobre el III Perfeccionamiento del Sistema Nacional de Educación en Cuba. Apuntes. Pueblo y Educación.</w:t>
      </w:r>
    </w:p>
    <w:p w14:paraId="4F28BB19" w14:textId="499917A7" w:rsidR="00D616D0" w:rsidRPr="00312591" w:rsidRDefault="00785CDA" w:rsidP="00BB2BA7">
      <w:pPr>
        <w:spacing w:after="120"/>
        <w:ind w:left="720" w:right="50" w:hanging="720"/>
        <w:rPr>
          <w:rFonts w:cs="Calibri"/>
          <w:color w:val="0070C0"/>
          <w:sz w:val="24"/>
          <w:szCs w:val="24"/>
          <w:u w:val="single"/>
        </w:rPr>
      </w:pPr>
      <w:r w:rsidRPr="00312591">
        <w:rPr>
          <w:rFonts w:cs="Calibri"/>
          <w:sz w:val="24"/>
          <w:lang w:val="es-ES"/>
        </w:rPr>
        <w:t>Organización Internacional de Normalización (ISO</w:t>
      </w:r>
      <w:r w:rsidR="00CC0AA3" w:rsidRPr="00312591">
        <w:rPr>
          <w:rFonts w:cs="Calibri"/>
          <w:sz w:val="24"/>
          <w:lang w:val="es-ES"/>
        </w:rPr>
        <w:t>). (</w:t>
      </w:r>
      <w:r w:rsidRPr="00312591">
        <w:rPr>
          <w:rFonts w:cs="Calibri"/>
          <w:sz w:val="24"/>
          <w:lang w:val="es-ES"/>
        </w:rPr>
        <w:t xml:space="preserve">2018). </w:t>
      </w:r>
      <w:r w:rsidRPr="00312591">
        <w:rPr>
          <w:rFonts w:cs="Calibri"/>
          <w:i/>
          <w:iCs/>
          <w:sz w:val="24"/>
          <w:lang w:val="es-ES"/>
        </w:rPr>
        <w:t xml:space="preserve">Norma Internacional ISO 31000. </w:t>
      </w:r>
      <w:r w:rsidRPr="00312591">
        <w:rPr>
          <w:rFonts w:cs="Calibri"/>
          <w:i/>
          <w:iCs/>
          <w:color w:val="000000"/>
          <w:sz w:val="24"/>
          <w:szCs w:val="24"/>
          <w:lang w:val="es-ES"/>
        </w:rPr>
        <w:t>Administración/Gestión</w:t>
      </w:r>
      <w:r w:rsidR="00CC0AA3" w:rsidRPr="00312591">
        <w:rPr>
          <w:rFonts w:cs="Calibri"/>
          <w:i/>
          <w:iCs/>
          <w:color w:val="000000"/>
          <w:sz w:val="24"/>
          <w:szCs w:val="24"/>
          <w:lang w:val="es-ES"/>
        </w:rPr>
        <w:t xml:space="preserve"> de riesgos-Lineamientos guía. </w:t>
      </w:r>
      <w:hyperlink r:id="rId22" w:history="1">
        <w:r w:rsidRPr="00312591">
          <w:rPr>
            <w:rStyle w:val="Hipervnculo"/>
            <w:rFonts w:cs="Calibri"/>
            <w:sz w:val="24"/>
            <w:szCs w:val="24"/>
          </w:rPr>
          <w:t>https://www.ramajudicial.gov.co/documents/5454330/14491339/Norma.ISO.31000.2018.Espanol.pdf/cb482b2c-afd9-4699-b409-0732a5261486</w:t>
        </w:r>
      </w:hyperlink>
      <w:r w:rsidRPr="00312591">
        <w:rPr>
          <w:rFonts w:cs="Calibri"/>
          <w:color w:val="0070C0"/>
          <w:sz w:val="24"/>
          <w:szCs w:val="24"/>
          <w:u w:val="single"/>
        </w:rPr>
        <w:t xml:space="preserve"> </w:t>
      </w:r>
    </w:p>
    <w:p w14:paraId="689E9A5A" w14:textId="77777777" w:rsidR="00D616D0" w:rsidRPr="00312591" w:rsidRDefault="00785CDA" w:rsidP="00BB2BA7">
      <w:pPr>
        <w:spacing w:after="120"/>
        <w:ind w:left="720" w:hanging="720"/>
        <w:jc w:val="both"/>
        <w:rPr>
          <w:noProof/>
          <w:sz w:val="24"/>
          <w:szCs w:val="24"/>
          <w:lang w:val="es-ES"/>
        </w:rPr>
      </w:pPr>
      <w:r w:rsidRPr="00312591">
        <w:rPr>
          <w:noProof/>
          <w:sz w:val="24"/>
          <w:szCs w:val="24"/>
          <w:lang w:val="es-ES_tradnl"/>
        </w:rPr>
        <w:t>Osorio, E.</w:t>
      </w:r>
      <w:r w:rsidR="00CD2C56" w:rsidRPr="00312591">
        <w:rPr>
          <w:noProof/>
          <w:sz w:val="24"/>
          <w:szCs w:val="24"/>
          <w:lang w:val="es-ES_tradnl"/>
        </w:rPr>
        <w:t xml:space="preserve"> </w:t>
      </w:r>
      <w:r w:rsidRPr="00312591">
        <w:rPr>
          <w:noProof/>
          <w:sz w:val="24"/>
          <w:szCs w:val="24"/>
          <w:lang w:val="es-ES_tradnl"/>
        </w:rPr>
        <w:t>A;</w:t>
      </w:r>
      <w:r w:rsidRPr="00312591">
        <w:rPr>
          <w:sz w:val="24"/>
          <w:szCs w:val="24"/>
          <w:lang w:val="es-ES"/>
        </w:rPr>
        <w:t xml:space="preserve"> Ortega, N.</w:t>
      </w:r>
      <w:r w:rsidR="00CD2C56" w:rsidRPr="00312591">
        <w:rPr>
          <w:sz w:val="24"/>
          <w:szCs w:val="24"/>
          <w:lang w:val="es-ES"/>
        </w:rPr>
        <w:t xml:space="preserve"> </w:t>
      </w:r>
      <w:r w:rsidRPr="00312591">
        <w:rPr>
          <w:sz w:val="24"/>
          <w:szCs w:val="24"/>
          <w:lang w:val="es-ES"/>
        </w:rPr>
        <w:t xml:space="preserve">M; </w:t>
      </w:r>
      <w:proofErr w:type="spellStart"/>
      <w:r w:rsidRPr="00312591">
        <w:rPr>
          <w:sz w:val="24"/>
          <w:szCs w:val="24"/>
          <w:lang w:val="es-ES"/>
        </w:rPr>
        <w:t>Pillón</w:t>
      </w:r>
      <w:proofErr w:type="spellEnd"/>
      <w:r w:rsidRPr="00312591">
        <w:rPr>
          <w:sz w:val="24"/>
          <w:szCs w:val="24"/>
          <w:lang w:val="es-ES"/>
        </w:rPr>
        <w:t xml:space="preserve">, S. (2024). Factores de riesgo asociados al uso de drogas en estudiantes adolescentes. </w:t>
      </w:r>
      <w:r w:rsidR="00CD2C56" w:rsidRPr="00312591">
        <w:rPr>
          <w:i/>
          <w:iCs/>
          <w:noProof/>
          <w:sz w:val="24"/>
          <w:szCs w:val="24"/>
          <w:lang w:val="es-ES"/>
        </w:rPr>
        <w:t>Revista Latino</w:t>
      </w:r>
      <w:r w:rsidRPr="00312591">
        <w:rPr>
          <w:i/>
          <w:iCs/>
          <w:noProof/>
          <w:sz w:val="24"/>
          <w:szCs w:val="24"/>
          <w:lang w:val="es-ES"/>
        </w:rPr>
        <w:t xml:space="preserve">am Enfermagem, 12 </w:t>
      </w:r>
      <w:r w:rsidRPr="00312591">
        <w:rPr>
          <w:noProof/>
          <w:sz w:val="24"/>
          <w:szCs w:val="24"/>
          <w:lang w:val="es-ES"/>
        </w:rPr>
        <w:t>(Número especial), 369-375.</w:t>
      </w:r>
      <w:r w:rsidRPr="00312591">
        <w:rPr>
          <w:noProof/>
          <w:color w:val="FF0000"/>
          <w:sz w:val="24"/>
          <w:szCs w:val="24"/>
          <w:lang w:val="es-ES"/>
        </w:rPr>
        <w:t xml:space="preserve"> </w:t>
      </w:r>
      <w:hyperlink r:id="rId23" w:history="1">
        <w:r w:rsidRPr="00312591">
          <w:rPr>
            <w:rStyle w:val="Hipervnculo"/>
            <w:noProof/>
            <w:sz w:val="24"/>
            <w:szCs w:val="24"/>
            <w:lang w:val="es-ES"/>
          </w:rPr>
          <w:t>https://doi.org/10.1590/s0104-11692004000700011</w:t>
        </w:r>
      </w:hyperlink>
    </w:p>
    <w:p w14:paraId="27945A98" w14:textId="77777777" w:rsidR="00D616D0" w:rsidRPr="00312591" w:rsidRDefault="00785CDA" w:rsidP="00BB2BA7">
      <w:pPr>
        <w:spacing w:after="120"/>
        <w:ind w:left="720" w:hanging="720"/>
        <w:jc w:val="both"/>
        <w:rPr>
          <w:noProof/>
          <w:sz w:val="24"/>
          <w:szCs w:val="24"/>
          <w:lang w:val="es-ES"/>
        </w:rPr>
      </w:pPr>
      <w:r w:rsidRPr="00312591">
        <w:rPr>
          <w:noProof/>
          <w:sz w:val="24"/>
          <w:szCs w:val="24"/>
          <w:lang w:val="es-ES_tradnl"/>
        </w:rPr>
        <w:t>Reyes, J.</w:t>
      </w:r>
      <w:r w:rsidR="00031040" w:rsidRPr="00312591">
        <w:rPr>
          <w:noProof/>
          <w:sz w:val="24"/>
          <w:szCs w:val="24"/>
          <w:lang w:val="es-ES_tradnl"/>
        </w:rPr>
        <w:t xml:space="preserve"> </w:t>
      </w:r>
      <w:r w:rsidRPr="00312591">
        <w:rPr>
          <w:noProof/>
          <w:sz w:val="24"/>
          <w:szCs w:val="24"/>
          <w:lang w:val="es-ES_tradnl"/>
        </w:rPr>
        <w:t>L;</w:t>
      </w:r>
      <w:r w:rsidRPr="00312591">
        <w:rPr>
          <w:sz w:val="24"/>
          <w:szCs w:val="24"/>
          <w:lang w:val="es-ES"/>
        </w:rPr>
        <w:t xml:space="preserve"> Cano, P; Parra, J.F. (2021). Procedimiento para el desarrollo de la prevención educativa como competencia de dirección. </w:t>
      </w:r>
      <w:r w:rsidRPr="00312591">
        <w:rPr>
          <w:i/>
          <w:iCs/>
          <w:noProof/>
          <w:sz w:val="24"/>
          <w:szCs w:val="24"/>
          <w:lang w:val="es-ES"/>
        </w:rPr>
        <w:t xml:space="preserve">Revista </w:t>
      </w:r>
      <w:proofErr w:type="spellStart"/>
      <w:r w:rsidRPr="00312591">
        <w:rPr>
          <w:rFonts w:cs="Calibri"/>
          <w:i/>
          <w:color w:val="000000"/>
          <w:sz w:val="24"/>
          <w:szCs w:val="18"/>
          <w:lang w:val="es-ES"/>
        </w:rPr>
        <w:t>Didasc@lia</w:t>
      </w:r>
      <w:proofErr w:type="spellEnd"/>
      <w:r w:rsidRPr="00312591">
        <w:rPr>
          <w:rFonts w:cs="Calibri"/>
          <w:i/>
          <w:color w:val="000000"/>
          <w:sz w:val="24"/>
          <w:szCs w:val="18"/>
          <w:lang w:val="es-ES"/>
        </w:rPr>
        <w:t xml:space="preserve">: </w:t>
      </w:r>
      <w:r w:rsidRPr="00312591">
        <w:rPr>
          <w:rFonts w:cs="Calibri"/>
          <w:i/>
          <w:color w:val="000000"/>
          <w:sz w:val="24"/>
          <w:szCs w:val="18"/>
          <w:lang w:val="es-ES_tradnl"/>
        </w:rPr>
        <w:t>Didáctica</w:t>
      </w:r>
      <w:r w:rsidRPr="00312591">
        <w:rPr>
          <w:rFonts w:cs="Calibri"/>
          <w:i/>
          <w:color w:val="000000"/>
          <w:sz w:val="24"/>
          <w:szCs w:val="18"/>
          <w:lang w:val="es-ES"/>
        </w:rPr>
        <w:t xml:space="preserve"> y </w:t>
      </w:r>
      <w:r w:rsidRPr="00312591">
        <w:rPr>
          <w:rFonts w:cs="Calibri"/>
          <w:i/>
          <w:color w:val="000000"/>
          <w:sz w:val="24"/>
          <w:szCs w:val="18"/>
          <w:lang w:val="es-ES_tradnl"/>
        </w:rPr>
        <w:t>Educación</w:t>
      </w:r>
      <w:r w:rsidR="00031040" w:rsidRPr="00312591">
        <w:rPr>
          <w:i/>
          <w:iCs/>
          <w:noProof/>
          <w:sz w:val="24"/>
          <w:szCs w:val="24"/>
          <w:lang w:val="es-ES"/>
        </w:rPr>
        <w:t>, XII</w:t>
      </w:r>
      <w:r w:rsidRPr="00312591">
        <w:rPr>
          <w:noProof/>
          <w:sz w:val="24"/>
          <w:szCs w:val="24"/>
          <w:lang w:val="es-ES"/>
        </w:rPr>
        <w:t>(3), 165-180.</w:t>
      </w:r>
      <w:r w:rsidRPr="00312591">
        <w:rPr>
          <w:noProof/>
          <w:color w:val="FF0000"/>
          <w:sz w:val="24"/>
          <w:szCs w:val="24"/>
          <w:lang w:val="es-ES"/>
        </w:rPr>
        <w:t xml:space="preserve"> </w:t>
      </w:r>
      <w:hyperlink r:id="rId24" w:history="1">
        <w:r w:rsidRPr="00312591">
          <w:rPr>
            <w:rStyle w:val="Hipervnculo"/>
            <w:noProof/>
            <w:sz w:val="24"/>
            <w:szCs w:val="24"/>
            <w:lang w:val="es-ES"/>
          </w:rPr>
          <w:t>https://revistas.ult.edu.cu/index.php/didascalia/article/view/1201</w:t>
        </w:r>
      </w:hyperlink>
    </w:p>
    <w:p w14:paraId="01644247" w14:textId="77777777" w:rsidR="00D616D0" w:rsidRPr="00312591" w:rsidRDefault="00785CDA" w:rsidP="00BB2BA7">
      <w:pPr>
        <w:spacing w:after="120"/>
        <w:ind w:left="720" w:hanging="720"/>
        <w:rPr>
          <w:noProof/>
          <w:color w:val="0070C0"/>
          <w:sz w:val="24"/>
          <w:szCs w:val="24"/>
          <w:u w:val="single"/>
          <w:lang w:val="es-ES"/>
        </w:rPr>
      </w:pPr>
      <w:r w:rsidRPr="00312591">
        <w:rPr>
          <w:noProof/>
          <w:sz w:val="24"/>
          <w:szCs w:val="24"/>
          <w:lang w:val="es-ES_tradnl"/>
        </w:rPr>
        <w:t>Samudio,</w:t>
      </w:r>
      <w:r w:rsidRPr="00312591">
        <w:rPr>
          <w:noProof/>
          <w:color w:val="FF0000"/>
          <w:sz w:val="24"/>
          <w:szCs w:val="24"/>
          <w:lang w:val="es-ES_tradnl"/>
        </w:rPr>
        <w:t xml:space="preserve"> </w:t>
      </w:r>
      <w:r w:rsidRPr="00312591">
        <w:rPr>
          <w:noProof/>
          <w:sz w:val="24"/>
          <w:szCs w:val="24"/>
          <w:lang w:val="es-ES_tradnl"/>
        </w:rPr>
        <w:t>G.</w:t>
      </w:r>
      <w:r w:rsidR="00CD2C56" w:rsidRPr="00312591">
        <w:rPr>
          <w:noProof/>
          <w:sz w:val="24"/>
          <w:szCs w:val="24"/>
          <w:lang w:val="es-ES_tradnl"/>
        </w:rPr>
        <w:t xml:space="preserve"> </w:t>
      </w:r>
      <w:r w:rsidRPr="00312591">
        <w:rPr>
          <w:noProof/>
          <w:sz w:val="24"/>
          <w:szCs w:val="24"/>
          <w:lang w:val="es-ES_tradnl"/>
        </w:rPr>
        <w:t>C;</w:t>
      </w:r>
      <w:r w:rsidRPr="00312591">
        <w:rPr>
          <w:sz w:val="24"/>
          <w:szCs w:val="24"/>
          <w:lang w:val="es-ES"/>
        </w:rPr>
        <w:t xml:space="preserve"> Ortiz, L.</w:t>
      </w:r>
      <w:r w:rsidR="00CD2C56" w:rsidRPr="00312591">
        <w:rPr>
          <w:sz w:val="24"/>
          <w:szCs w:val="24"/>
          <w:lang w:val="es-ES"/>
        </w:rPr>
        <w:t xml:space="preserve"> </w:t>
      </w:r>
      <w:r w:rsidRPr="00312591">
        <w:rPr>
          <w:sz w:val="24"/>
          <w:szCs w:val="24"/>
          <w:lang w:val="es-ES"/>
        </w:rPr>
        <w:t>M; Soto, M.</w:t>
      </w:r>
      <w:r w:rsidR="00CD2C56" w:rsidRPr="00312591">
        <w:rPr>
          <w:sz w:val="24"/>
          <w:szCs w:val="24"/>
          <w:lang w:val="es-ES"/>
        </w:rPr>
        <w:t xml:space="preserve"> </w:t>
      </w:r>
      <w:r w:rsidRPr="00312591">
        <w:rPr>
          <w:sz w:val="24"/>
          <w:szCs w:val="24"/>
          <w:lang w:val="es-ES"/>
        </w:rPr>
        <w:t xml:space="preserve">A; Samudio, C.R. (2021). </w:t>
      </w:r>
      <w:r w:rsidRPr="00312591">
        <w:rPr>
          <w:rFonts w:cs="Calibri"/>
          <w:color w:val="231F20"/>
          <w:sz w:val="24"/>
          <w:szCs w:val="24"/>
          <w:lang w:val="es-ES"/>
        </w:rPr>
        <w:t>Factores asociados al consumo de drogas ilícitas en una población adolescente: encuesta en zonas marginales de área urbana</w:t>
      </w:r>
      <w:r w:rsidRPr="00312591">
        <w:rPr>
          <w:sz w:val="24"/>
          <w:szCs w:val="24"/>
          <w:lang w:val="es-ES"/>
        </w:rPr>
        <w:t xml:space="preserve">. </w:t>
      </w:r>
      <w:r w:rsidRPr="00312591">
        <w:rPr>
          <w:i/>
          <w:iCs/>
          <w:noProof/>
          <w:sz w:val="24"/>
          <w:szCs w:val="24"/>
          <w:lang w:val="es-ES"/>
        </w:rPr>
        <w:t xml:space="preserve">Revista </w:t>
      </w:r>
      <w:r w:rsidRPr="00312591">
        <w:rPr>
          <w:rFonts w:cs="Calibri"/>
          <w:i/>
          <w:color w:val="000000"/>
          <w:sz w:val="24"/>
          <w:szCs w:val="18"/>
          <w:lang w:val="es-ES"/>
        </w:rPr>
        <w:t>Pediatría Asunción</w:t>
      </w:r>
      <w:r w:rsidR="00CD2C56" w:rsidRPr="00312591">
        <w:rPr>
          <w:i/>
          <w:iCs/>
          <w:noProof/>
          <w:sz w:val="24"/>
          <w:szCs w:val="24"/>
          <w:lang w:val="es-ES"/>
        </w:rPr>
        <w:t>, 48</w:t>
      </w:r>
      <w:r w:rsidRPr="00312591">
        <w:rPr>
          <w:noProof/>
          <w:sz w:val="24"/>
          <w:szCs w:val="24"/>
          <w:lang w:val="es-ES"/>
        </w:rPr>
        <w:t>(2), 107-112.</w:t>
      </w:r>
      <w:r w:rsidR="00397D70" w:rsidRPr="00312591">
        <w:rPr>
          <w:noProof/>
          <w:sz w:val="24"/>
          <w:szCs w:val="24"/>
          <w:lang w:val="es-ES"/>
        </w:rPr>
        <w:t xml:space="preserve"> </w:t>
      </w:r>
      <w:r w:rsidRPr="00312591">
        <w:rPr>
          <w:noProof/>
          <w:color w:val="0070C0"/>
          <w:sz w:val="24"/>
          <w:szCs w:val="24"/>
          <w:u w:val="single"/>
          <w:lang w:val="es-ES"/>
        </w:rPr>
        <w:t xml:space="preserve">https://doi.org/10.31698/ped.48022021004 </w:t>
      </w:r>
    </w:p>
    <w:p w14:paraId="7E4F5516" w14:textId="77777777" w:rsidR="00D616D0" w:rsidRPr="00312591" w:rsidRDefault="00785CDA" w:rsidP="00BB2BA7">
      <w:pPr>
        <w:spacing w:after="120"/>
        <w:ind w:left="720" w:hanging="720"/>
        <w:jc w:val="both"/>
        <w:rPr>
          <w:noProof/>
          <w:color w:val="0070C0"/>
          <w:sz w:val="24"/>
          <w:szCs w:val="24"/>
          <w:u w:val="single"/>
          <w:lang w:val="es-ES"/>
        </w:rPr>
      </w:pPr>
      <w:proofErr w:type="spellStart"/>
      <w:r w:rsidRPr="00312591">
        <w:rPr>
          <w:rFonts w:cs="Calibri"/>
          <w:sz w:val="24"/>
          <w:szCs w:val="24"/>
          <w:lang w:val="es-ES"/>
        </w:rPr>
        <w:t>Steinfeld</w:t>
      </w:r>
      <w:proofErr w:type="spellEnd"/>
      <w:r w:rsidRPr="00312591">
        <w:rPr>
          <w:rFonts w:cs="Calibri"/>
          <w:sz w:val="24"/>
          <w:szCs w:val="24"/>
          <w:lang w:val="es-ES"/>
        </w:rPr>
        <w:t>,</w:t>
      </w:r>
      <w:r w:rsidRPr="00312591">
        <w:rPr>
          <w:rFonts w:cs="Calibri"/>
          <w:color w:val="000000"/>
          <w:sz w:val="24"/>
          <w:szCs w:val="24"/>
          <w:lang w:val="es-ES"/>
        </w:rPr>
        <w:t xml:space="preserve"> M; </w:t>
      </w:r>
      <w:proofErr w:type="spellStart"/>
      <w:r w:rsidRPr="00312591">
        <w:rPr>
          <w:rFonts w:cs="Calibri"/>
          <w:color w:val="000000"/>
          <w:sz w:val="24"/>
          <w:szCs w:val="24"/>
          <w:lang w:val="es-ES"/>
        </w:rPr>
        <w:t>Torregrossa</w:t>
      </w:r>
      <w:proofErr w:type="spellEnd"/>
      <w:r w:rsidRPr="00312591">
        <w:rPr>
          <w:rFonts w:cs="Calibri"/>
          <w:color w:val="000000"/>
          <w:sz w:val="24"/>
          <w:szCs w:val="24"/>
          <w:lang w:val="es-ES"/>
        </w:rPr>
        <w:t>, M.</w:t>
      </w:r>
      <w:r w:rsidR="00C156FA" w:rsidRPr="00312591">
        <w:rPr>
          <w:rFonts w:cs="Calibri"/>
          <w:color w:val="000000"/>
          <w:sz w:val="24"/>
          <w:szCs w:val="24"/>
          <w:lang w:val="es-ES"/>
        </w:rPr>
        <w:t xml:space="preserve"> </w:t>
      </w:r>
      <w:r w:rsidRPr="00312591">
        <w:rPr>
          <w:rFonts w:cs="Calibri"/>
          <w:color w:val="000000"/>
          <w:sz w:val="24"/>
          <w:szCs w:val="24"/>
          <w:lang w:val="es-ES"/>
        </w:rPr>
        <w:t>M. (2023).</w:t>
      </w:r>
      <w:r w:rsidR="00C156FA" w:rsidRPr="00312591">
        <w:rPr>
          <w:rFonts w:ascii="AdvOT46dcae81" w:hAnsi="AdvOT46dcae81"/>
          <w:color w:val="000000"/>
          <w:sz w:val="40"/>
          <w:szCs w:val="40"/>
          <w:lang w:val="es-ES"/>
        </w:rPr>
        <w:t xml:space="preserve"> </w:t>
      </w:r>
      <w:r w:rsidRPr="00312591">
        <w:rPr>
          <w:rFonts w:cs="Calibri"/>
          <w:color w:val="000000"/>
          <w:sz w:val="24"/>
          <w:szCs w:val="24"/>
        </w:rPr>
        <w:t xml:space="preserve">Consequences of adolescent drug use. </w:t>
      </w:r>
      <w:proofErr w:type="spellStart"/>
      <w:r w:rsidRPr="00312591">
        <w:rPr>
          <w:rFonts w:cs="Calibri"/>
          <w:i/>
          <w:iCs/>
          <w:color w:val="000000"/>
          <w:sz w:val="24"/>
          <w:szCs w:val="24"/>
          <w:lang w:val="es-ES"/>
        </w:rPr>
        <w:t>Translational</w:t>
      </w:r>
      <w:proofErr w:type="spellEnd"/>
      <w:r w:rsidRPr="00312591">
        <w:rPr>
          <w:rFonts w:cs="Calibri"/>
          <w:i/>
          <w:iCs/>
          <w:color w:val="000000"/>
          <w:sz w:val="24"/>
          <w:szCs w:val="24"/>
          <w:lang w:val="es-ES"/>
        </w:rPr>
        <w:t xml:space="preserve"> </w:t>
      </w:r>
      <w:proofErr w:type="spellStart"/>
      <w:r w:rsidRPr="00312591">
        <w:rPr>
          <w:rFonts w:cs="Calibri"/>
          <w:i/>
          <w:iCs/>
          <w:color w:val="000000"/>
          <w:sz w:val="24"/>
          <w:szCs w:val="24"/>
          <w:lang w:val="es-ES"/>
        </w:rPr>
        <w:t>Psychiatry</w:t>
      </w:r>
      <w:proofErr w:type="spellEnd"/>
      <w:r w:rsidR="00C156FA" w:rsidRPr="00312591">
        <w:rPr>
          <w:rFonts w:cs="Calibri"/>
          <w:i/>
          <w:iCs/>
          <w:noProof/>
          <w:sz w:val="24"/>
          <w:szCs w:val="24"/>
          <w:lang w:val="es-ES"/>
        </w:rPr>
        <w:t>, 13</w:t>
      </w:r>
      <w:r w:rsidRPr="00312591">
        <w:rPr>
          <w:rFonts w:cs="Calibri"/>
          <w:noProof/>
          <w:sz w:val="24"/>
          <w:szCs w:val="24"/>
          <w:lang w:val="es-ES"/>
        </w:rPr>
        <w:t>(313)</w:t>
      </w:r>
      <w:r w:rsidR="00C156FA" w:rsidRPr="00312591">
        <w:rPr>
          <w:rFonts w:cs="Calibri"/>
          <w:noProof/>
          <w:sz w:val="24"/>
          <w:szCs w:val="24"/>
          <w:lang w:val="es-ES"/>
        </w:rPr>
        <w:t>, 1-15</w:t>
      </w:r>
      <w:r w:rsidRPr="00312591">
        <w:rPr>
          <w:rFonts w:cs="Calibri"/>
          <w:noProof/>
          <w:sz w:val="24"/>
          <w:szCs w:val="24"/>
          <w:lang w:val="es-ES"/>
        </w:rPr>
        <w:t xml:space="preserve">. </w:t>
      </w:r>
      <w:r w:rsidRPr="00312591">
        <w:rPr>
          <w:rFonts w:cs="Calibri"/>
          <w:color w:val="0070C0"/>
          <w:sz w:val="24"/>
          <w:szCs w:val="24"/>
          <w:u w:val="single"/>
          <w:lang w:val="es-ES"/>
        </w:rPr>
        <w:t>https://doi.org/10.1038/s41398-023-02590-4</w:t>
      </w:r>
    </w:p>
    <w:p w14:paraId="44802F25" w14:textId="77777777" w:rsidR="00D616D0" w:rsidRDefault="00785CDA" w:rsidP="00312591">
      <w:pPr>
        <w:pStyle w:val="Bibliografa"/>
        <w:spacing w:after="240"/>
        <w:ind w:left="720" w:right="51" w:hanging="720"/>
        <w:jc w:val="both"/>
        <w:rPr>
          <w:lang w:val="es-ES_tradnl"/>
        </w:rPr>
      </w:pPr>
      <w:r w:rsidRPr="00312591">
        <w:rPr>
          <w:noProof/>
          <w:sz w:val="24"/>
          <w:szCs w:val="24"/>
          <w:lang w:val="es-ES_tradnl"/>
        </w:rPr>
        <w:t xml:space="preserve">Weason, M; Delgado, C; Pino, C; González, B. (2018). </w:t>
      </w:r>
      <w:r w:rsidRPr="00312591">
        <w:rPr>
          <w:i/>
          <w:iCs/>
          <w:noProof/>
          <w:sz w:val="24"/>
          <w:szCs w:val="24"/>
          <w:lang w:val="es-ES_tradnl"/>
        </w:rPr>
        <w:t>Gestión escolar preventiva en establecimientos educacionales para la prevención del consumo de alcohol y otras drogas.</w:t>
      </w:r>
      <w:r w:rsidRPr="00312591">
        <w:rPr>
          <w:noProof/>
          <w:sz w:val="24"/>
          <w:szCs w:val="24"/>
          <w:lang w:val="es-ES_tradnl"/>
        </w:rPr>
        <w:t xml:space="preserve">, Santiago, Chile:  Ministerio del Interior y Seguridad Pública </w:t>
      </w:r>
      <w:hyperlink r:id="rId25" w:history="1">
        <w:r w:rsidRPr="00312591">
          <w:rPr>
            <w:rStyle w:val="Hipervnculo"/>
            <w:rFonts w:cs="Calibri"/>
            <w:sz w:val="24"/>
            <w:szCs w:val="24"/>
            <w:lang w:val="es-ES"/>
          </w:rPr>
          <w:t>https://</w:t>
        </w:r>
        <w:r w:rsidRPr="00312591">
          <w:rPr>
            <w:rStyle w:val="Hipervnculo"/>
            <w:lang w:val="es-ES_tradnl"/>
          </w:rPr>
          <w:t>bibliodrogas.gob.cl/wp-content/uploads/2020/12/Gestion-escolar-preventiva-en-establecimientos-educacionales-para-la-prevencion-del-consumo-de-alcohol-y-otras-drogas-2018.pdf</w:t>
        </w:r>
      </w:hyperlink>
      <w:r>
        <w:rPr>
          <w:lang w:val="es-ES_tradnl"/>
        </w:rPr>
        <w:t xml:space="preserve"> </w:t>
      </w:r>
    </w:p>
    <w:p w14:paraId="049D7117" w14:textId="77777777" w:rsidR="00D616D0" w:rsidRDefault="00785CDA">
      <w:pPr>
        <w:spacing w:after="120"/>
        <w:ind w:right="50"/>
        <w:jc w:val="both"/>
        <w:rPr>
          <w:rFonts w:eastAsia="Arial" w:cs="Calibri"/>
          <w:b/>
          <w:bCs/>
          <w:sz w:val="24"/>
          <w:szCs w:val="24"/>
          <w:lang w:val="es-ES_tradnl"/>
        </w:rPr>
      </w:pPr>
      <w:r>
        <w:rPr>
          <w:rFonts w:eastAsia="Arial" w:cs="Calibri"/>
          <w:b/>
          <w:bCs/>
          <w:sz w:val="24"/>
          <w:szCs w:val="24"/>
          <w:lang w:val="es-ES_tradnl"/>
        </w:rPr>
        <w:t>Conflicto de intereses:</w:t>
      </w:r>
    </w:p>
    <w:p w14:paraId="2708403F" w14:textId="77777777" w:rsidR="00D616D0" w:rsidRDefault="00785CDA">
      <w:pPr>
        <w:spacing w:after="240"/>
        <w:ind w:right="50"/>
        <w:jc w:val="both"/>
        <w:rPr>
          <w:rFonts w:eastAsia="Arial" w:cs="Calibri"/>
          <w:b/>
          <w:bCs/>
          <w:sz w:val="24"/>
          <w:szCs w:val="24"/>
          <w:lang w:val="es-ES_tradnl"/>
        </w:rPr>
      </w:pPr>
      <w:r>
        <w:rPr>
          <w:rStyle w:val="Hipervnculo"/>
          <w:rFonts w:cs="SimSun"/>
          <w:color w:val="auto"/>
          <w:sz w:val="24"/>
          <w:szCs w:val="24"/>
          <w:u w:val="none"/>
          <w:lang w:val="es-ES_tradnl"/>
        </w:rPr>
        <w:t>Se declara que no existen conflictos de intereses que puedan haber influido en los resultados obtenidos o las interpretaciones propuestas.</w:t>
      </w:r>
    </w:p>
    <w:p w14:paraId="02956FE8" w14:textId="77777777" w:rsidR="00D616D0" w:rsidRDefault="00785CDA">
      <w:pPr>
        <w:spacing w:after="120"/>
        <w:ind w:right="50"/>
        <w:jc w:val="both"/>
        <w:rPr>
          <w:rStyle w:val="Hipervnculo"/>
          <w:rFonts w:cs="SimSun"/>
          <w:b/>
          <w:color w:val="auto"/>
          <w:sz w:val="24"/>
          <w:szCs w:val="24"/>
          <w:u w:val="none"/>
          <w:lang w:val="es-ES_tradnl"/>
        </w:rPr>
      </w:pPr>
      <w:r>
        <w:rPr>
          <w:rFonts w:eastAsia="Arial" w:cs="Calibri"/>
          <w:b/>
          <w:bCs/>
          <w:sz w:val="24"/>
          <w:szCs w:val="24"/>
          <w:lang w:val="es-ES_tradnl"/>
        </w:rPr>
        <w:t>Síntesis curricular:</w:t>
      </w:r>
    </w:p>
    <w:p w14:paraId="39F2C18B" w14:textId="31CC0B40" w:rsidR="00D616D0" w:rsidRDefault="00785CDA" w:rsidP="00312591">
      <w:pPr>
        <w:widowControl/>
        <w:spacing w:after="0" w:line="259" w:lineRule="auto"/>
        <w:ind w:right="51"/>
        <w:jc w:val="both"/>
        <w:rPr>
          <w:rStyle w:val="Hipervnculo"/>
          <w:rFonts w:cs="SimSun"/>
          <w:color w:val="auto"/>
          <w:sz w:val="24"/>
          <w:szCs w:val="24"/>
          <w:u w:val="none"/>
          <w:lang w:val="es-ES_tradnl"/>
        </w:rPr>
      </w:pPr>
      <w:r>
        <w:rPr>
          <w:rStyle w:val="Hipervnculo"/>
          <w:rFonts w:cs="SimSun"/>
          <w:b/>
          <w:bCs/>
          <w:color w:val="auto"/>
          <w:sz w:val="24"/>
          <w:szCs w:val="24"/>
          <w:u w:val="none"/>
          <w:lang w:val="es-ES_tradnl"/>
        </w:rPr>
        <w:lastRenderedPageBreak/>
        <w:t>Daniel Pupo Rivera</w:t>
      </w:r>
      <w:r>
        <w:rPr>
          <w:rStyle w:val="Hipervnculo"/>
          <w:rFonts w:cs="SimSun"/>
          <w:color w:val="auto"/>
          <w:sz w:val="24"/>
          <w:szCs w:val="24"/>
          <w:u w:val="none"/>
          <w:lang w:val="es-ES_tradnl"/>
        </w:rPr>
        <w:t>: Licenciado en Educación</w:t>
      </w:r>
      <w:r w:rsidR="00312591">
        <w:rPr>
          <w:rStyle w:val="Hipervnculo"/>
          <w:rFonts w:cs="SimSun"/>
          <w:color w:val="auto"/>
          <w:sz w:val="24"/>
          <w:szCs w:val="24"/>
          <w:u w:val="none"/>
          <w:lang w:val="es-ES_tradnl"/>
        </w:rPr>
        <w:t>, especialidad</w:t>
      </w:r>
      <w:r>
        <w:rPr>
          <w:rStyle w:val="Hipervnculo"/>
          <w:rFonts w:cs="SimSun"/>
          <w:color w:val="auto"/>
          <w:sz w:val="24"/>
          <w:szCs w:val="24"/>
          <w:u w:val="none"/>
          <w:lang w:val="es-ES_tradnl"/>
        </w:rPr>
        <w:t xml:space="preserve"> Marxismo Leninismo e Historia. Docente Especialista Principal. Director de la Escuela Secundaria Básica Urbana Camilo Cienfuegos Gorriarán, Holguín, Holguín. Ha investigado en temas relativos a la dirección de instituciones educativas y la gestión del trabajo preventivo en el contexto institucional, relacionado con el consumo de drogas en los adolescentes. </w:t>
      </w:r>
    </w:p>
    <w:p w14:paraId="30F7B60F" w14:textId="77777777" w:rsidR="00D616D0" w:rsidRDefault="00785CDA" w:rsidP="00312591">
      <w:pPr>
        <w:widowControl/>
        <w:spacing w:after="0" w:line="259" w:lineRule="auto"/>
        <w:ind w:right="50"/>
        <w:jc w:val="both"/>
        <w:rPr>
          <w:rStyle w:val="Hipervnculo"/>
          <w:rFonts w:cs="SimSun"/>
          <w:color w:val="auto"/>
          <w:sz w:val="24"/>
          <w:szCs w:val="24"/>
          <w:u w:val="none"/>
          <w:lang w:val="es-ES_tradnl"/>
        </w:rPr>
      </w:pPr>
      <w:r>
        <w:rPr>
          <w:rStyle w:val="Hipervnculo"/>
          <w:rFonts w:cs="SimSun"/>
          <w:b/>
          <w:bCs/>
          <w:color w:val="auto"/>
          <w:sz w:val="24"/>
          <w:szCs w:val="24"/>
          <w:u w:val="none"/>
          <w:lang w:val="es-ES_tradnl"/>
        </w:rPr>
        <w:t xml:space="preserve">Pedro Valiente </w:t>
      </w:r>
      <w:proofErr w:type="spellStart"/>
      <w:r>
        <w:rPr>
          <w:rStyle w:val="Hipervnculo"/>
          <w:rFonts w:cs="SimSun"/>
          <w:b/>
          <w:bCs/>
          <w:color w:val="auto"/>
          <w:sz w:val="24"/>
          <w:szCs w:val="24"/>
          <w:u w:val="none"/>
          <w:lang w:val="es-ES_tradnl"/>
        </w:rPr>
        <w:t>Sandó</w:t>
      </w:r>
      <w:proofErr w:type="spellEnd"/>
      <w:r>
        <w:rPr>
          <w:rStyle w:val="Hipervnculo"/>
          <w:rFonts w:cs="SimSun"/>
          <w:b/>
          <w:bCs/>
          <w:color w:val="auto"/>
          <w:sz w:val="24"/>
          <w:szCs w:val="24"/>
          <w:u w:val="none"/>
          <w:lang w:val="es-ES_tradnl"/>
        </w:rPr>
        <w:t xml:space="preserve">: </w:t>
      </w:r>
      <w:r>
        <w:rPr>
          <w:rStyle w:val="Hipervnculo"/>
          <w:rFonts w:cs="SimSun"/>
          <w:color w:val="auto"/>
          <w:sz w:val="24"/>
          <w:szCs w:val="24"/>
          <w:u w:val="none"/>
          <w:lang w:val="es-ES_tradnl"/>
        </w:rPr>
        <w:t>Profesor Emérito, Profesor Titular, Doctor Honoris Causa, Doctor en Ciencias Pedagógicas, Máster en Investigación Educativa. Premio Nacional de Pedagogía. Profesor-Investigador del Centro de Estudios de Gestión Organizacional de la Facultad de Ingeniería de la Universidad de Holguín. Ha incursionado en temas de investigación tales como dirección de instituciones educativas, formación de directivos educacionales, calidad y evaluación de la educación, formación doctoral.</w:t>
      </w:r>
    </w:p>
    <w:p w14:paraId="2A102FA6" w14:textId="10874BE8" w:rsidR="00D616D0" w:rsidRDefault="00785CDA">
      <w:pPr>
        <w:widowControl/>
        <w:spacing w:after="120" w:line="259" w:lineRule="auto"/>
        <w:ind w:right="51"/>
        <w:jc w:val="both"/>
        <w:rPr>
          <w:rStyle w:val="Hipervnculo"/>
          <w:rFonts w:cs="SimSun"/>
          <w:color w:val="auto"/>
          <w:sz w:val="24"/>
          <w:szCs w:val="24"/>
          <w:u w:val="none"/>
          <w:lang w:val="es-ES_tradnl"/>
        </w:rPr>
      </w:pPr>
      <w:proofErr w:type="spellStart"/>
      <w:r>
        <w:rPr>
          <w:rStyle w:val="Hipervnculo"/>
          <w:rFonts w:cs="SimSun"/>
          <w:b/>
          <w:bCs/>
          <w:color w:val="auto"/>
          <w:sz w:val="24"/>
          <w:szCs w:val="24"/>
          <w:u w:val="none"/>
          <w:lang w:val="es-ES_tradnl"/>
        </w:rPr>
        <w:t>Araíz</w:t>
      </w:r>
      <w:proofErr w:type="spellEnd"/>
      <w:r>
        <w:rPr>
          <w:rStyle w:val="Hipervnculo"/>
          <w:rFonts w:cs="SimSun"/>
          <w:b/>
          <w:bCs/>
          <w:color w:val="auto"/>
          <w:sz w:val="24"/>
          <w:szCs w:val="24"/>
          <w:u w:val="none"/>
          <w:lang w:val="es-ES_tradnl"/>
        </w:rPr>
        <w:t xml:space="preserve"> </w:t>
      </w:r>
      <w:proofErr w:type="spellStart"/>
      <w:r>
        <w:rPr>
          <w:rStyle w:val="Hipervnculo"/>
          <w:rFonts w:cs="SimSun"/>
          <w:b/>
          <w:bCs/>
          <w:color w:val="auto"/>
          <w:sz w:val="24"/>
          <w:szCs w:val="24"/>
          <w:u w:val="none"/>
          <w:lang w:val="es-ES_tradnl"/>
        </w:rPr>
        <w:t>Maturell</w:t>
      </w:r>
      <w:proofErr w:type="spellEnd"/>
      <w:r>
        <w:rPr>
          <w:rStyle w:val="Hipervnculo"/>
          <w:rFonts w:cs="SimSun"/>
          <w:b/>
          <w:bCs/>
          <w:color w:val="auto"/>
          <w:sz w:val="24"/>
          <w:szCs w:val="24"/>
          <w:u w:val="none"/>
          <w:lang w:val="es-ES_tradnl"/>
        </w:rPr>
        <w:t xml:space="preserve"> Aguilera: </w:t>
      </w:r>
      <w:r>
        <w:rPr>
          <w:rStyle w:val="Hipervnculo"/>
          <w:rFonts w:cs="SimSun"/>
          <w:color w:val="auto"/>
          <w:sz w:val="24"/>
          <w:szCs w:val="24"/>
          <w:u w:val="none"/>
          <w:lang w:val="es-ES_tradnl"/>
        </w:rPr>
        <w:t xml:space="preserve">Doctor en Ciencias de la Educación, Máster en Planeamiento, Administración y Supervisión de Sistemas educativos, </w:t>
      </w:r>
      <w:r w:rsidR="00312591">
        <w:rPr>
          <w:rStyle w:val="Hipervnculo"/>
          <w:rFonts w:cs="SimSun"/>
          <w:color w:val="auto"/>
          <w:sz w:val="24"/>
          <w:szCs w:val="24"/>
          <w:u w:val="none"/>
          <w:lang w:val="es-ES_tradnl"/>
        </w:rPr>
        <w:t xml:space="preserve">Profesora Titular </w:t>
      </w:r>
      <w:r>
        <w:rPr>
          <w:rStyle w:val="Hipervnculo"/>
          <w:rFonts w:cs="SimSun"/>
          <w:color w:val="auto"/>
          <w:sz w:val="24"/>
          <w:szCs w:val="24"/>
          <w:u w:val="none"/>
          <w:lang w:val="es-ES_tradnl"/>
        </w:rPr>
        <w:t xml:space="preserve">de la Universidad de Holguín, Jefa de Departamento de Inspección de la Dirección General de Educación de Calixto García. Ha investigado sobre el mejoramiento del desempeño profesional de los directivos, gestión de instituciones educativas y atención a la diversidad en el aprendizaje. </w:t>
      </w:r>
    </w:p>
    <w:p w14:paraId="4A00B0BF" w14:textId="77777777" w:rsidR="00D616D0" w:rsidRDefault="00785CDA">
      <w:pPr>
        <w:spacing w:after="120"/>
        <w:ind w:right="50"/>
        <w:jc w:val="both"/>
        <w:rPr>
          <w:rStyle w:val="Hipervnculo"/>
          <w:rFonts w:cs="SimSun"/>
          <w:b/>
          <w:color w:val="auto"/>
          <w:sz w:val="24"/>
          <w:szCs w:val="24"/>
          <w:u w:val="none"/>
          <w:lang w:val="es-ES_tradnl"/>
        </w:rPr>
      </w:pPr>
      <w:r>
        <w:rPr>
          <w:rFonts w:eastAsia="Arial" w:cs="Calibri"/>
          <w:b/>
          <w:bCs/>
          <w:sz w:val="24"/>
          <w:szCs w:val="24"/>
          <w:lang w:val="es-ES_tradnl"/>
        </w:rPr>
        <w:t>Declaración de responsabilidad autoral:</w:t>
      </w:r>
    </w:p>
    <w:p w14:paraId="17896721" w14:textId="77777777" w:rsidR="00D616D0" w:rsidRDefault="00785CDA">
      <w:pPr>
        <w:widowControl/>
        <w:spacing w:after="120" w:line="259" w:lineRule="auto"/>
        <w:ind w:right="51"/>
        <w:jc w:val="both"/>
        <w:rPr>
          <w:rStyle w:val="Hipervnculo"/>
          <w:rFonts w:cs="SimSun"/>
          <w:color w:val="auto"/>
          <w:sz w:val="24"/>
          <w:szCs w:val="24"/>
          <w:u w:val="none"/>
          <w:lang w:val="es-ES_tradnl"/>
        </w:rPr>
      </w:pPr>
      <w:r>
        <w:rPr>
          <w:rStyle w:val="Hipervnculo"/>
          <w:rFonts w:cs="SimSun"/>
          <w:b/>
          <w:bCs/>
          <w:color w:val="auto"/>
          <w:sz w:val="24"/>
          <w:szCs w:val="24"/>
          <w:u w:val="none"/>
          <w:lang w:val="es-ES_tradnl"/>
        </w:rPr>
        <w:t xml:space="preserve">Daniel Pupo Rivera: </w:t>
      </w:r>
      <w:r>
        <w:rPr>
          <w:rStyle w:val="Hipervnculo"/>
          <w:rFonts w:cs="SimSun"/>
          <w:color w:val="auto"/>
          <w:sz w:val="24"/>
          <w:szCs w:val="24"/>
          <w:u w:val="none"/>
          <w:lang w:val="es-ES_tradnl"/>
        </w:rPr>
        <w:t>Concepción general y metodológica del estudio. Revisión bibliográfica. Conformación del marco teórico-referencial. Elaboración de la propuesta. Elaboración de las conclusiones. Redacción general del trabajo.</w:t>
      </w:r>
    </w:p>
    <w:p w14:paraId="0D462B5E" w14:textId="77777777" w:rsidR="00D616D0" w:rsidRDefault="00785CDA">
      <w:pPr>
        <w:jc w:val="both"/>
        <w:rPr>
          <w:lang w:val="es-ES"/>
        </w:rPr>
      </w:pPr>
      <w:r>
        <w:rPr>
          <w:rStyle w:val="Hipervnculo"/>
          <w:rFonts w:cs="SimSun"/>
          <w:b/>
          <w:bCs/>
          <w:color w:val="auto"/>
          <w:sz w:val="24"/>
          <w:szCs w:val="24"/>
          <w:u w:val="none"/>
          <w:lang w:val="es-ES_tradnl"/>
        </w:rPr>
        <w:t xml:space="preserve">Pedro Valiente </w:t>
      </w:r>
      <w:proofErr w:type="spellStart"/>
      <w:r>
        <w:rPr>
          <w:rStyle w:val="Hipervnculo"/>
          <w:rFonts w:cs="SimSun"/>
          <w:b/>
          <w:bCs/>
          <w:color w:val="auto"/>
          <w:sz w:val="24"/>
          <w:szCs w:val="24"/>
          <w:u w:val="none"/>
          <w:lang w:val="es-ES_tradnl"/>
        </w:rPr>
        <w:t>Sandó</w:t>
      </w:r>
      <w:proofErr w:type="spellEnd"/>
      <w:r>
        <w:rPr>
          <w:rStyle w:val="Hipervnculo"/>
          <w:rFonts w:cs="SimSun"/>
          <w:b/>
          <w:bCs/>
          <w:color w:val="auto"/>
          <w:sz w:val="24"/>
          <w:szCs w:val="24"/>
          <w:u w:val="none"/>
          <w:lang w:val="es-ES_tradnl"/>
        </w:rPr>
        <w:t xml:space="preserve">: </w:t>
      </w:r>
      <w:r>
        <w:rPr>
          <w:rStyle w:val="Hipervnculo"/>
          <w:rFonts w:cs="SimSun"/>
          <w:color w:val="auto"/>
          <w:sz w:val="24"/>
          <w:szCs w:val="24"/>
          <w:u w:val="none"/>
          <w:lang w:val="es-ES_tradnl"/>
        </w:rPr>
        <w:t>Concepción general y metodológica del estudio. Elaboración de la propuesta. Elaboración de las conclusiones. Redacción general del trabajo.</w:t>
      </w:r>
    </w:p>
    <w:p w14:paraId="57FA6879" w14:textId="77777777" w:rsidR="00D616D0" w:rsidRDefault="00785CDA" w:rsidP="00312591">
      <w:pPr>
        <w:spacing w:after="480"/>
        <w:jc w:val="both"/>
        <w:rPr>
          <w:lang w:val="es-ES"/>
        </w:rPr>
      </w:pPr>
      <w:proofErr w:type="spellStart"/>
      <w:r>
        <w:rPr>
          <w:rStyle w:val="Hipervnculo"/>
          <w:rFonts w:cs="SimSun"/>
          <w:b/>
          <w:bCs/>
          <w:color w:val="auto"/>
          <w:sz w:val="24"/>
          <w:szCs w:val="24"/>
          <w:u w:val="none"/>
          <w:lang w:val="es-ES_tradnl"/>
        </w:rPr>
        <w:t>Araíz</w:t>
      </w:r>
      <w:proofErr w:type="spellEnd"/>
      <w:r>
        <w:rPr>
          <w:rStyle w:val="Hipervnculo"/>
          <w:rFonts w:cs="SimSun"/>
          <w:b/>
          <w:bCs/>
          <w:color w:val="auto"/>
          <w:sz w:val="24"/>
          <w:szCs w:val="24"/>
          <w:u w:val="none"/>
          <w:lang w:val="es-ES_tradnl"/>
        </w:rPr>
        <w:t xml:space="preserve"> </w:t>
      </w:r>
      <w:proofErr w:type="spellStart"/>
      <w:r>
        <w:rPr>
          <w:rStyle w:val="Hipervnculo"/>
          <w:rFonts w:cs="SimSun"/>
          <w:b/>
          <w:bCs/>
          <w:color w:val="auto"/>
          <w:sz w:val="24"/>
          <w:szCs w:val="24"/>
          <w:u w:val="none"/>
          <w:lang w:val="es-ES_tradnl"/>
        </w:rPr>
        <w:t>Maturell</w:t>
      </w:r>
      <w:proofErr w:type="spellEnd"/>
      <w:r>
        <w:rPr>
          <w:rStyle w:val="Hipervnculo"/>
          <w:rFonts w:cs="SimSun"/>
          <w:b/>
          <w:bCs/>
          <w:color w:val="auto"/>
          <w:sz w:val="24"/>
          <w:szCs w:val="24"/>
          <w:u w:val="none"/>
          <w:lang w:val="es-ES_tradnl"/>
        </w:rPr>
        <w:t xml:space="preserve"> Aguilera: </w:t>
      </w:r>
      <w:r>
        <w:rPr>
          <w:rStyle w:val="Hipervnculo"/>
          <w:rFonts w:cs="SimSun"/>
          <w:color w:val="auto"/>
          <w:sz w:val="24"/>
          <w:szCs w:val="24"/>
          <w:u w:val="none"/>
          <w:lang w:val="es-ES_tradnl"/>
        </w:rPr>
        <w:t>Revisión bibliográfica. Redacción general del trabajo.</w:t>
      </w:r>
    </w:p>
    <w:p w14:paraId="3C86D40E" w14:textId="15C49403" w:rsidR="00D616D0" w:rsidRDefault="00785CDA">
      <w:pPr>
        <w:widowControl/>
        <w:spacing w:after="120" w:line="259" w:lineRule="auto"/>
        <w:ind w:right="51"/>
        <w:jc w:val="both"/>
        <w:rPr>
          <w:rFonts w:cs="SimSun"/>
          <w:sz w:val="24"/>
          <w:szCs w:val="24"/>
          <w:lang w:val="es-ES_tradnl"/>
        </w:rPr>
      </w:pPr>
      <w:r>
        <w:rPr>
          <w:rFonts w:eastAsia="Arial" w:cs="Calibri"/>
          <w:b/>
          <w:bCs/>
          <w:sz w:val="24"/>
          <w:szCs w:val="24"/>
          <w:lang w:val="es-ES_tradnl"/>
        </w:rPr>
        <w:t>Editado por:</w:t>
      </w:r>
      <w:r>
        <w:rPr>
          <w:rFonts w:eastAsia="Arial" w:cs="Calibri"/>
          <w:bCs/>
          <w:sz w:val="24"/>
          <w:szCs w:val="24"/>
          <w:lang w:val="es-ES_tradnl"/>
        </w:rPr>
        <w:t xml:space="preserve"> </w:t>
      </w:r>
      <w:r w:rsidR="00312591">
        <w:rPr>
          <w:rFonts w:eastAsia="Arial" w:cs="Calibri"/>
          <w:bCs/>
          <w:sz w:val="24"/>
          <w:szCs w:val="24"/>
          <w:lang w:val="es-ES_tradnl"/>
        </w:rPr>
        <w:t>Manuel N. Montejo Lorenzo</w:t>
      </w:r>
    </w:p>
    <w:p w14:paraId="1B81FEB8" w14:textId="77777777" w:rsidR="00D616D0" w:rsidRDefault="00D616D0">
      <w:pPr>
        <w:spacing w:after="0" w:line="240" w:lineRule="auto"/>
        <w:rPr>
          <w:rFonts w:cs="SimSun"/>
          <w:sz w:val="24"/>
          <w:szCs w:val="24"/>
          <w:lang w:val="es-ES_tradnl"/>
        </w:rPr>
      </w:pPr>
    </w:p>
    <w:tbl>
      <w:tblPr>
        <w:tblStyle w:val="Tablaconcuadrcula"/>
        <w:tblpPr w:leftFromText="141" w:rightFromText="141" w:vertAnchor="text" w:tblpXSpec="center"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554"/>
        <w:gridCol w:w="1281"/>
      </w:tblGrid>
      <w:tr w:rsidR="00D616D0" w:rsidRPr="00C02305" w14:paraId="1D3FBF90" w14:textId="77777777">
        <w:tc>
          <w:tcPr>
            <w:tcW w:w="6663" w:type="dxa"/>
            <w:vAlign w:val="center"/>
          </w:tcPr>
          <w:p w14:paraId="6515A651" w14:textId="77777777" w:rsidR="00D616D0" w:rsidRDefault="00785CDA">
            <w:pPr>
              <w:spacing w:after="0"/>
              <w:jc w:val="both"/>
              <w:rPr>
                <w:sz w:val="18"/>
                <w:szCs w:val="18"/>
                <w:lang w:val="es-ES_tradnl"/>
              </w:rPr>
            </w:pPr>
            <w:r>
              <w:rPr>
                <w:sz w:val="18"/>
                <w:szCs w:val="18"/>
                <w:lang w:val="es-ES_tradnl"/>
              </w:rPr>
              <w:t xml:space="preserve">Este es un artículo en Acceso Abierto distribuido según los términos de la Licencia Creative </w:t>
            </w:r>
            <w:proofErr w:type="spellStart"/>
            <w:r>
              <w:rPr>
                <w:sz w:val="18"/>
                <w:szCs w:val="18"/>
                <w:lang w:val="es-ES_tradnl"/>
              </w:rPr>
              <w:t>Commons</w:t>
            </w:r>
            <w:proofErr w:type="spellEnd"/>
            <w:r>
              <w:rPr>
                <w:sz w:val="18"/>
                <w:szCs w:val="18"/>
                <w:lang w:val="es-ES_tradnl"/>
              </w:rPr>
              <w:t xml:space="preserve">: </w:t>
            </w:r>
            <w:hyperlink r:id="rId26" w:history="1">
              <w:r>
                <w:rPr>
                  <w:rStyle w:val="Hipervnculo"/>
                  <w:sz w:val="18"/>
                  <w:szCs w:val="18"/>
                  <w:lang w:val="es-ES_tradnl"/>
                </w:rPr>
                <w:t>https://creativecomons.org/licenses/by-nc/4.0/deed.es_ES</w:t>
              </w:r>
            </w:hyperlink>
            <w:r>
              <w:rPr>
                <w:sz w:val="18"/>
                <w:szCs w:val="18"/>
                <w:lang w:val="es-ES_tradnl"/>
              </w:rPr>
              <w:t xml:space="preserve"> que permite el uso, distribución y reproducción no comerciales y sin restricciones en cualquier medio, siempre que sea debidamente citada la fuente primaria de publicación.</w:t>
            </w:r>
          </w:p>
        </w:tc>
        <w:tc>
          <w:tcPr>
            <w:tcW w:w="1554" w:type="dxa"/>
          </w:tcPr>
          <w:p w14:paraId="0A9A6A97" w14:textId="77777777" w:rsidR="00D616D0" w:rsidRDefault="00785CDA">
            <w:pPr>
              <w:spacing w:after="0"/>
              <w:jc w:val="both"/>
              <w:rPr>
                <w:sz w:val="24"/>
                <w:szCs w:val="24"/>
                <w:lang w:val="es-ES_tradnl"/>
              </w:rPr>
            </w:pPr>
            <w:r>
              <w:rPr>
                <w:noProof/>
                <w:lang w:val="es-ES" w:eastAsia="es-ES"/>
              </w:rPr>
              <mc:AlternateContent>
                <mc:Choice Requires="wpg">
                  <w:drawing>
                    <wp:anchor distT="0" distB="0" distL="0" distR="0" simplePos="0" relativeHeight="2" behindDoc="1" locked="0" layoutInCell="1" allowOverlap="1" wp14:anchorId="7997EA3D" wp14:editId="5402108F">
                      <wp:simplePos x="0" y="0"/>
                      <wp:positionH relativeFrom="margin">
                        <wp:posOffset>-1905</wp:posOffset>
                      </wp:positionH>
                      <wp:positionV relativeFrom="paragraph">
                        <wp:posOffset>4445</wp:posOffset>
                      </wp:positionV>
                      <wp:extent cx="1724025" cy="723900"/>
                      <wp:effectExtent l="0" t="1905" r="3175" b="0"/>
                      <wp:wrapNone/>
                      <wp:docPr id="1029" name="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4025" cy="723900"/>
                                <a:chOff x="0" y="-2310"/>
                                <a:chExt cx="16846" cy="13505"/>
                              </a:xfrm>
                            </wpg:grpSpPr>
                            <pic:pic xmlns:pic="http://schemas.openxmlformats.org/drawingml/2006/picture">
                              <pic:nvPicPr>
                                <pic:cNvPr id="1" name="Image"/>
                                <pic:cNvPicPr/>
                              </pic:nvPicPr>
                              <pic:blipFill>
                                <a:blip r:embed="rId27" cstate="print"/>
                                <a:srcRect/>
                                <a:stretch/>
                              </pic:blipFill>
                              <pic:spPr>
                                <a:xfrm>
                                  <a:off x="8655" y="-2310"/>
                                  <a:ext cx="8191" cy="13505"/>
                                </a:xfrm>
                                <a:prstGeom prst="rect">
                                  <a:avLst/>
                                </a:prstGeom>
                                <a:ln>
                                  <a:noFill/>
                                </a:ln>
                              </pic:spPr>
                            </pic:pic>
                            <pic:pic xmlns:pic="http://schemas.openxmlformats.org/drawingml/2006/picture">
                              <pic:nvPicPr>
                                <pic:cNvPr id="2" name="Image"/>
                                <pic:cNvPicPr/>
                              </pic:nvPicPr>
                              <pic:blipFill>
                                <a:blip r:embed="rId28" cstate="print"/>
                                <a:srcRect/>
                                <a:stretch/>
                              </pic:blipFill>
                              <pic:spPr>
                                <a:xfrm>
                                  <a:off x="0" y="0"/>
                                  <a:ext cx="8096" cy="9951"/>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xmlns:wpsCustomData="http://www.wps.cn/officeDocument/2013/wpsCustomData">
                  <w:pict>
                    <v:group id="1029" filled="f" stroked="f" style="position:absolute;margin-left:-0.15pt;margin-top:0.35pt;width:135.75pt;height:57.0pt;z-index:-2147483645;mso-position-horizontal-relative:margin;mso-position-vertical-relative:text;mso-width-percent:0;mso-height-percent:0;mso-width-relative:margin;mso-height-relative:margin;mso-wrap-distance-left:0.0pt;mso-wrap-distance-right:0.0pt;visibility:visible;" coordsize="16846,13505" coordorigin="0,-2310">
                      <v:shape id="1030" type="#_x0000_t75" filled="f" stroked="f" style="position:absolute;left:8655;top:-2310;width:8191;height:13505;z-index:2;mso-position-horizontal-relative:page;mso-position-vertical-relative:page;mso-width-relative:page;mso-height-relative:page;visibility:visible;">
                        <v:imagedata r:id="rId30" embosscolor="white" o:title=""/>
                        <v:stroke on="f"/>
                        <v:fill/>
                      </v:shape>
                      <v:shape id="1031" type="#_x0000_t75" filled="f" stroked="f" style="position:absolute;left:0;top:0;width:8096;height:9951;z-index:3;mso-position-horizontal-relative:page;mso-position-vertical-relative:page;mso-width-relative:page;mso-height-relative:page;visibility:visible;">
                        <v:imagedata r:id="rId31" embosscolor="white" o:title=""/>
                        <v:stroke on="f"/>
                        <v:fill/>
                      </v:shape>
                      <v:fill/>
                    </v:group>
                  </w:pict>
                </mc:Fallback>
              </mc:AlternateContent>
            </w:r>
          </w:p>
        </w:tc>
        <w:tc>
          <w:tcPr>
            <w:tcW w:w="1281" w:type="dxa"/>
          </w:tcPr>
          <w:p w14:paraId="60F7CB51" w14:textId="77777777" w:rsidR="00D616D0" w:rsidRDefault="00D616D0">
            <w:pPr>
              <w:spacing w:after="0"/>
              <w:jc w:val="both"/>
              <w:rPr>
                <w:sz w:val="24"/>
                <w:szCs w:val="24"/>
                <w:lang w:val="es-ES_tradnl"/>
              </w:rPr>
            </w:pPr>
          </w:p>
        </w:tc>
      </w:tr>
    </w:tbl>
    <w:p w14:paraId="31A4C8B0" w14:textId="77777777" w:rsidR="00D616D0" w:rsidRDefault="00D616D0">
      <w:pPr>
        <w:rPr>
          <w:rFonts w:cs="SimSun"/>
          <w:sz w:val="24"/>
          <w:szCs w:val="24"/>
          <w:lang w:val="es-ES_tradnl"/>
        </w:rPr>
      </w:pPr>
    </w:p>
    <w:sectPr w:rsidR="00D616D0">
      <w:headerReference w:type="even" r:id="rId32"/>
      <w:headerReference w:type="default" r:id="rId33"/>
      <w:footerReference w:type="even" r:id="rId34"/>
      <w:footerReference w:type="default" r:id="rId35"/>
      <w:headerReference w:type="first" r:id="rId36"/>
      <w:footerReference w:type="first" r:id="rId37"/>
      <w:pgSz w:w="12242" w:h="15842" w:code="1"/>
      <w:pgMar w:top="1418" w:right="1418" w:bottom="1418" w:left="1418" w:header="510" w:footer="43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A29B" w14:textId="77777777" w:rsidR="005879BA" w:rsidRDefault="005879BA">
      <w:pPr>
        <w:spacing w:after="0" w:line="240" w:lineRule="auto"/>
      </w:pPr>
      <w:r>
        <w:separator/>
      </w:r>
    </w:p>
  </w:endnote>
  <w:endnote w:type="continuationSeparator" w:id="0">
    <w:p w14:paraId="568A1569" w14:textId="77777777" w:rsidR="005879BA" w:rsidRDefault="0058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yriadPro-SemiCn">
    <w:altName w:val="Times New Roman"/>
    <w:panose1 w:val="00000000000000000000"/>
    <w:charset w:val="00"/>
    <w:family w:val="roman"/>
    <w:notTrueType/>
    <w:pitch w:val="default"/>
  </w:font>
  <w:font w:name="AdvOT46dcae81">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0095" w14:textId="0509CC6A" w:rsidR="00D616D0" w:rsidRDefault="00785CDA">
    <w:pPr>
      <w:pStyle w:val="Piedepgina"/>
      <w:jc w:val="right"/>
    </w:pPr>
    <w:r>
      <w:rPr>
        <w:noProof/>
        <w:lang w:val="es-ES" w:eastAsia="es-ES"/>
      </w:rPr>
      <w:drawing>
        <wp:anchor distT="0" distB="0" distL="114300" distR="114300" simplePos="0" relativeHeight="3" behindDoc="0" locked="0" layoutInCell="1" allowOverlap="1" wp14:anchorId="77E2A2F4" wp14:editId="4C9267D8">
          <wp:simplePos x="0" y="0"/>
          <wp:positionH relativeFrom="margin">
            <wp:align>left</wp:align>
          </wp:positionH>
          <wp:positionV relativeFrom="paragraph">
            <wp:posOffset>-348615</wp:posOffset>
          </wp:positionV>
          <wp:extent cx="1190625" cy="390525"/>
          <wp:effectExtent l="0" t="0" r="9525" b="9525"/>
          <wp:wrapSquare wrapText="bothSides"/>
          <wp:docPr id="409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cstate="print"/>
                  <a:srcRect/>
                  <a:stretch/>
                </pic:blipFill>
                <pic:spPr>
                  <a:xfrm>
                    <a:off x="0" y="0"/>
                    <a:ext cx="1190625" cy="39052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4E419A" w:rsidRPr="004E419A">
      <w:rPr>
        <w:noProof/>
        <w:lang w:val="es-ES"/>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C1AF" w14:textId="160E6D16" w:rsidR="00D616D0" w:rsidRDefault="00785CDA">
    <w:pPr>
      <w:pStyle w:val="Piedepgina"/>
      <w:jc w:val="right"/>
    </w:pPr>
    <w:r>
      <w:rPr>
        <w:noProof/>
        <w:lang w:val="es-ES" w:eastAsia="es-ES"/>
      </w:rPr>
      <w:drawing>
        <wp:anchor distT="0" distB="0" distL="114300" distR="114300" simplePos="0" relativeHeight="4" behindDoc="0" locked="0" layoutInCell="1" allowOverlap="1" wp14:anchorId="27A6B764" wp14:editId="41D63CB6">
          <wp:simplePos x="0" y="0"/>
          <wp:positionH relativeFrom="margin">
            <wp:align>left</wp:align>
          </wp:positionH>
          <wp:positionV relativeFrom="paragraph">
            <wp:posOffset>-329565</wp:posOffset>
          </wp:positionV>
          <wp:extent cx="1209675" cy="371475"/>
          <wp:effectExtent l="0" t="0" r="9525" b="9525"/>
          <wp:wrapSquare wrapText="bothSides"/>
          <wp:docPr id="409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srcRect/>
                  <a:stretch/>
                </pic:blipFill>
                <pic:spPr>
                  <a:xfrm>
                    <a:off x="0" y="0"/>
                    <a:ext cx="1209675" cy="37147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4E419A" w:rsidRPr="004E419A">
      <w:rPr>
        <w:noProof/>
        <w:lang w:val="es-ES"/>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3B26" w14:textId="77777777" w:rsidR="00D616D0" w:rsidRDefault="00785CDA">
    <w:pPr>
      <w:pStyle w:val="Piedepgina"/>
      <w:jc w:val="center"/>
      <w:rPr>
        <w:rFonts w:ascii="Palatino Linotype" w:hAnsi="Palatino Linotype"/>
        <w:sz w:val="20"/>
        <w:szCs w:val="20"/>
        <w:lang w:val="es-ES"/>
      </w:rPr>
    </w:pPr>
    <w:r>
      <w:rPr>
        <w:rFonts w:ascii="Palatino Linotype" w:hAnsi="Palatino Linotype"/>
        <w:sz w:val="20"/>
        <w:szCs w:val="20"/>
        <w:lang w:val="es-ES"/>
      </w:rPr>
      <w:t>_____________________________________________________________________________________</w:t>
    </w:r>
  </w:p>
  <w:p w14:paraId="6612E5A9" w14:textId="77777777" w:rsidR="00D616D0" w:rsidRDefault="00785CDA">
    <w:pPr>
      <w:pStyle w:val="Piedepgina"/>
      <w:jc w:val="center"/>
      <w:rPr>
        <w:rFonts w:ascii="Cambria" w:hAnsi="Cambria"/>
        <w:sz w:val="20"/>
        <w:szCs w:val="20"/>
        <w:lang w:val="es-ES"/>
      </w:rPr>
    </w:pPr>
    <w:r>
      <w:rPr>
        <w:rFonts w:ascii="Cambria" w:hAnsi="Cambria"/>
        <w:noProof/>
        <w:lang w:val="es-ES" w:eastAsia="es-ES"/>
      </w:rPr>
      <w:drawing>
        <wp:anchor distT="0" distB="0" distL="114300" distR="114300" simplePos="0" relativeHeight="2" behindDoc="0" locked="0" layoutInCell="1" allowOverlap="1" wp14:anchorId="74D5E215" wp14:editId="4C4F3411">
          <wp:simplePos x="0" y="0"/>
          <wp:positionH relativeFrom="margin">
            <wp:align>left</wp:align>
          </wp:positionH>
          <wp:positionV relativeFrom="paragraph">
            <wp:posOffset>33020</wp:posOffset>
          </wp:positionV>
          <wp:extent cx="1530985" cy="471170"/>
          <wp:effectExtent l="0" t="0" r="0" b="5080"/>
          <wp:wrapSquare wrapText="bothSides"/>
          <wp:docPr id="410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1" cstate="print"/>
                  <a:srcRect/>
                  <a:stretch/>
                </pic:blipFill>
                <pic:spPr>
                  <a:xfrm>
                    <a:off x="0" y="0"/>
                    <a:ext cx="1530985" cy="471170"/>
                  </a:xfrm>
                  <a:prstGeom prst="rect">
                    <a:avLst/>
                  </a:prstGeom>
                </pic:spPr>
              </pic:pic>
            </a:graphicData>
          </a:graphic>
        </wp:anchor>
      </w:drawing>
    </w:r>
    <w:r>
      <w:rPr>
        <w:rFonts w:ascii="Cambria" w:hAnsi="Cambria"/>
        <w:sz w:val="20"/>
        <w:szCs w:val="20"/>
        <w:lang w:val="es-ES"/>
      </w:rPr>
      <w:t>Universidad de Camagüey Ignacio Agramonte Loynaz</w:t>
    </w:r>
  </w:p>
  <w:p w14:paraId="7E0181D2" w14:textId="77777777" w:rsidR="00D616D0" w:rsidRDefault="00785CDA">
    <w:pPr>
      <w:pStyle w:val="Piedepgina"/>
      <w:jc w:val="right"/>
      <w:rPr>
        <w:rFonts w:ascii="Palatino Linotype" w:hAnsi="Palatino Linotype"/>
        <w:sz w:val="20"/>
        <w:szCs w:val="20"/>
      </w:rPr>
    </w:pPr>
    <w:r>
      <w:rPr>
        <w:rFonts w:ascii="Palatino Linotype" w:hAnsi="Palatino Linotype"/>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C0AD" w14:textId="77777777" w:rsidR="005879BA" w:rsidRDefault="005879BA">
      <w:pPr>
        <w:spacing w:after="0" w:line="240" w:lineRule="auto"/>
      </w:pPr>
      <w:r>
        <w:separator/>
      </w:r>
    </w:p>
  </w:footnote>
  <w:footnote w:type="continuationSeparator" w:id="0">
    <w:p w14:paraId="2F94D94A" w14:textId="77777777" w:rsidR="005879BA" w:rsidRDefault="00587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4FD2" w14:textId="77777777" w:rsidR="00D616D0" w:rsidRDefault="00D616D0">
    <w:pPr>
      <w:pStyle w:val="Encabezado"/>
    </w:pPr>
  </w:p>
  <w:p w14:paraId="4B9E1A08" w14:textId="77777777" w:rsidR="00D616D0" w:rsidRDefault="00D616D0">
    <w:pPr>
      <w:pStyle w:val="Encabezado"/>
    </w:pPr>
  </w:p>
  <w:p w14:paraId="0B599095" w14:textId="77777777" w:rsidR="00D616D0" w:rsidRDefault="00785CDA">
    <w:pPr>
      <w:pStyle w:val="Encabezado"/>
      <w:rPr>
        <w:rFonts w:ascii="Cambria" w:hAnsi="Cambria"/>
        <w:sz w:val="16"/>
        <w:szCs w:val="16"/>
        <w:lang w:val="es-ES"/>
      </w:rPr>
    </w:pPr>
    <w:r>
      <w:rPr>
        <w:rFonts w:ascii="Cambria" w:hAnsi="Cambria"/>
        <w:sz w:val="16"/>
        <w:szCs w:val="16"/>
        <w:lang w:val="es-ES"/>
      </w:rPr>
      <w:t xml:space="preserve">Pupo-Rivera, Valiente y </w:t>
    </w:r>
    <w:proofErr w:type="spellStart"/>
    <w:r>
      <w:rPr>
        <w:rFonts w:ascii="Cambria" w:hAnsi="Cambria"/>
        <w:sz w:val="16"/>
        <w:szCs w:val="16"/>
        <w:lang w:val="es-ES"/>
      </w:rPr>
      <w:t>Maturell</w:t>
    </w:r>
    <w:proofErr w:type="spellEnd"/>
  </w:p>
  <w:p w14:paraId="060C5848" w14:textId="77777777" w:rsidR="00D616D0" w:rsidRDefault="00785CDA">
    <w:pPr>
      <w:pStyle w:val="Encabezado"/>
      <w:rPr>
        <w:rFonts w:ascii="Cambria" w:hAnsi="Cambria"/>
        <w:color w:val="808080"/>
        <w:sz w:val="16"/>
        <w:szCs w:val="16"/>
        <w:lang w:val="es-ES_tradnl"/>
      </w:rPr>
    </w:pPr>
    <w:r>
      <w:rPr>
        <w:rFonts w:ascii="Cambria" w:hAnsi="Cambria"/>
        <w:i/>
        <w:color w:val="808080"/>
        <w:sz w:val="16"/>
        <w:szCs w:val="16"/>
        <w:lang w:val="es-ES_tradnl"/>
      </w:rPr>
      <w:t>Transformación</w:t>
    </w:r>
    <w:r>
      <w:rPr>
        <w:rFonts w:ascii="Cambria" w:hAnsi="Cambria"/>
        <w:color w:val="808080"/>
        <w:sz w:val="16"/>
        <w:szCs w:val="16"/>
        <w:lang w:val="es-ES_tradnl"/>
      </w:rPr>
      <w:t xml:space="preserve">, ISSN: 2077-2955, RNPS: 2098. Publicación continua; 2025, Vol. 21, </w:t>
    </w:r>
    <w:r>
      <w:rPr>
        <w:rFonts w:ascii="Cambria" w:hAnsi="Cambria"/>
        <w:b/>
        <w:bCs/>
        <w:color w:val="808080"/>
        <w:sz w:val="16"/>
        <w:szCs w:val="16"/>
        <w:lang w:val="es-US"/>
      </w:rPr>
      <w:t>e</w:t>
    </w:r>
    <w:r w:rsidR="004E2041">
      <w:rPr>
        <w:rFonts w:ascii="Cambria" w:hAnsi="Cambria"/>
        <w:b/>
        <w:bCs/>
        <w:color w:val="808080"/>
        <w:sz w:val="16"/>
        <w:szCs w:val="16"/>
        <w:lang w:val="es-US"/>
      </w:rPr>
      <w:t>568</w:t>
    </w:r>
  </w:p>
  <w:p w14:paraId="22A385D2" w14:textId="77777777" w:rsidR="00D616D0" w:rsidRDefault="00785CDA">
    <w:pPr>
      <w:pStyle w:val="Encabezado"/>
      <w:rPr>
        <w:color w:val="000000"/>
        <w:lang w:val="es-ES"/>
      </w:rPr>
    </w:pPr>
    <w:r>
      <w:rPr>
        <w:color w:val="000000"/>
        <w:lang w:val="es-ES_tradnl"/>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DB74" w14:textId="77777777" w:rsidR="00D616D0" w:rsidRDefault="00D616D0">
    <w:pPr>
      <w:pStyle w:val="Encabezado"/>
    </w:pPr>
  </w:p>
  <w:p w14:paraId="0C2EC3A4" w14:textId="77777777" w:rsidR="00D616D0" w:rsidRDefault="00D616D0">
    <w:pPr>
      <w:spacing w:before="57" w:after="0"/>
      <w:ind w:right="73"/>
      <w:jc w:val="right"/>
      <w:rPr>
        <w:rFonts w:eastAsia="Arial" w:cs="Arial"/>
        <w:bCs/>
        <w:color w:val="000000"/>
        <w:spacing w:val="-1"/>
        <w:lang w:val="es-ES"/>
      </w:rPr>
    </w:pPr>
  </w:p>
  <w:p w14:paraId="79141D87" w14:textId="77777777" w:rsidR="00D616D0" w:rsidRDefault="00785CDA">
    <w:pPr>
      <w:pStyle w:val="Encabezado"/>
      <w:jc w:val="right"/>
      <w:rPr>
        <w:rFonts w:ascii="Cambria" w:eastAsia="Arial" w:hAnsi="Cambria" w:cs="Arial"/>
        <w:bCs/>
        <w:color w:val="000000"/>
        <w:spacing w:val="-1"/>
        <w:sz w:val="16"/>
        <w:szCs w:val="16"/>
        <w:lang w:val="es-ES"/>
      </w:rPr>
    </w:pPr>
    <w:r>
      <w:rPr>
        <w:rFonts w:ascii="Cambria" w:eastAsia="Arial" w:hAnsi="Cambria" w:cs="Arial"/>
        <w:bCs/>
        <w:color w:val="000000"/>
        <w:spacing w:val="-1"/>
        <w:sz w:val="16"/>
        <w:szCs w:val="16"/>
        <w:lang w:val="es-ES"/>
      </w:rPr>
      <w:t>La prevención de la drogadicción en las secundarias básicas: gestión desde el enfoque de riesgos</w:t>
    </w:r>
  </w:p>
  <w:p w14:paraId="13BDB1AB" w14:textId="77777777" w:rsidR="00D616D0" w:rsidRDefault="00785CDA">
    <w:pPr>
      <w:pStyle w:val="Encabezado"/>
      <w:jc w:val="right"/>
      <w:rPr>
        <w:rFonts w:ascii="Cambria" w:hAnsi="Cambria"/>
        <w:color w:val="808080"/>
        <w:sz w:val="16"/>
        <w:szCs w:val="16"/>
        <w:lang w:val="es-ES_tradnl"/>
      </w:rPr>
    </w:pPr>
    <w:r>
      <w:rPr>
        <w:rFonts w:ascii="Cambria" w:hAnsi="Cambria"/>
        <w:i/>
        <w:color w:val="808080"/>
        <w:sz w:val="16"/>
        <w:szCs w:val="16"/>
        <w:lang w:val="es-ES_tradnl"/>
      </w:rPr>
      <w:t>Transformación</w:t>
    </w:r>
    <w:r>
      <w:rPr>
        <w:rFonts w:ascii="Cambria" w:hAnsi="Cambria"/>
        <w:color w:val="808080"/>
        <w:sz w:val="16"/>
        <w:szCs w:val="16"/>
        <w:lang w:val="es-ES_tradnl"/>
      </w:rPr>
      <w:t xml:space="preserve">, ISSN: 2077-2955, RNPS: 2098. Publicación continua; 2025, Vol. 21, </w:t>
    </w:r>
    <w:r w:rsidR="00977748">
      <w:rPr>
        <w:rFonts w:ascii="Cambria" w:hAnsi="Cambria"/>
        <w:b/>
        <w:bCs/>
        <w:color w:val="808080"/>
        <w:sz w:val="16"/>
        <w:szCs w:val="16"/>
        <w:lang w:val="es-US"/>
      </w:rPr>
      <w:t>e568</w:t>
    </w:r>
  </w:p>
  <w:p w14:paraId="6F5596B4" w14:textId="77777777" w:rsidR="00D616D0" w:rsidRDefault="00785CDA">
    <w:pPr>
      <w:pStyle w:val="Encabezado"/>
      <w:tabs>
        <w:tab w:val="clear" w:pos="4252"/>
        <w:tab w:val="clear" w:pos="8504"/>
      </w:tabs>
      <w:rPr>
        <w:sz w:val="0"/>
        <w:szCs w:val="0"/>
        <w:lang w:val="es-ES"/>
      </w:rPr>
    </w:pPr>
    <w:r>
      <w:rPr>
        <w:color w:val="000000"/>
        <w:lang w:val="es-ES_tradnl"/>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351"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529"/>
      <w:gridCol w:w="2126"/>
    </w:tblGrid>
    <w:tr w:rsidR="00D616D0" w:rsidRPr="00C02305" w14:paraId="7A4510CF" w14:textId="77777777">
      <w:trPr>
        <w:jc w:val="center"/>
      </w:trPr>
      <w:tc>
        <w:tcPr>
          <w:tcW w:w="1696" w:type="dxa"/>
          <w:vAlign w:val="center"/>
        </w:tcPr>
        <w:p w14:paraId="0FB7A18A" w14:textId="77777777" w:rsidR="00D616D0" w:rsidRDefault="00785CDA">
          <w:pPr>
            <w:spacing w:after="0" w:line="240" w:lineRule="auto"/>
            <w:jc w:val="right"/>
            <w:rPr>
              <w:rFonts w:ascii="Cambria" w:hAnsi="Cambria"/>
              <w:b/>
              <w:color w:val="1F4E79"/>
              <w:sz w:val="18"/>
              <w:szCs w:val="18"/>
              <w:lang w:val="es-ES"/>
            </w:rPr>
          </w:pPr>
          <w:r>
            <w:rPr>
              <w:rFonts w:ascii="Cambria" w:hAnsi="Cambria"/>
              <w:noProof/>
              <w:sz w:val="18"/>
              <w:szCs w:val="18"/>
              <w:lang w:val="es-ES" w:eastAsia="es-ES"/>
            </w:rPr>
            <w:drawing>
              <wp:anchor distT="0" distB="0" distL="0" distR="0" simplePos="0" relativeHeight="5" behindDoc="0" locked="0" layoutInCell="1" allowOverlap="1" wp14:anchorId="52E3F399" wp14:editId="0E051A7D">
                <wp:simplePos x="0" y="0"/>
                <wp:positionH relativeFrom="column">
                  <wp:posOffset>69850</wp:posOffset>
                </wp:positionH>
                <wp:positionV relativeFrom="paragraph">
                  <wp:posOffset>-54610</wp:posOffset>
                </wp:positionV>
                <wp:extent cx="381000" cy="514350"/>
                <wp:effectExtent l="0" t="0" r="0" b="0"/>
                <wp:wrapNone/>
                <wp:docPr id="4099" name="Picture 3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276"/>
                        <pic:cNvPicPr/>
                      </pic:nvPicPr>
                      <pic:blipFill>
                        <a:blip r:embed="rId1" cstate="print"/>
                        <a:srcRect/>
                        <a:stretch/>
                      </pic:blipFill>
                      <pic:spPr>
                        <a:xfrm>
                          <a:off x="0" y="0"/>
                          <a:ext cx="381000" cy="51435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color w:val="1F4E79"/>
              <w:sz w:val="18"/>
              <w:szCs w:val="18"/>
              <w:lang w:val="es-ES"/>
            </w:rPr>
            <w:t>Revista</w:t>
          </w:r>
        </w:p>
        <w:p w14:paraId="12BCECEC" w14:textId="77777777" w:rsidR="00D616D0" w:rsidRDefault="00785CDA">
          <w:pPr>
            <w:spacing w:after="0" w:line="240" w:lineRule="auto"/>
            <w:ind w:left="601"/>
            <w:jc w:val="right"/>
            <w:rPr>
              <w:rFonts w:ascii="Cambria" w:hAnsi="Cambria"/>
              <w:b/>
              <w:color w:val="1F4E79"/>
              <w:sz w:val="18"/>
              <w:szCs w:val="18"/>
              <w:lang w:val="es-ES"/>
            </w:rPr>
          </w:pPr>
          <w:r>
            <w:rPr>
              <w:rFonts w:ascii="Cambria" w:hAnsi="Cambria"/>
              <w:b/>
              <w:color w:val="1F4E79"/>
              <w:sz w:val="18"/>
              <w:szCs w:val="18"/>
              <w:lang w:val="es-ES"/>
            </w:rPr>
            <w:t>científica</w:t>
          </w:r>
        </w:p>
        <w:p w14:paraId="74D9DFA4" w14:textId="77777777" w:rsidR="00D616D0" w:rsidRDefault="00785CDA">
          <w:pPr>
            <w:pStyle w:val="Encabezado"/>
            <w:tabs>
              <w:tab w:val="left" w:pos="330"/>
            </w:tabs>
            <w:jc w:val="right"/>
            <w:rPr>
              <w:rFonts w:ascii="Cambria" w:hAnsi="Cambria"/>
              <w:lang w:val="es-ES_tradnl"/>
            </w:rPr>
          </w:pPr>
          <w:r>
            <w:rPr>
              <w:rFonts w:ascii="Cambria" w:hAnsi="Cambria"/>
              <w:b/>
              <w:color w:val="1F4E79"/>
              <w:sz w:val="18"/>
              <w:szCs w:val="18"/>
              <w:lang w:val="es-ES"/>
            </w:rPr>
            <w:t>pedagógica</w:t>
          </w:r>
        </w:p>
      </w:tc>
      <w:tc>
        <w:tcPr>
          <w:tcW w:w="5529" w:type="dxa"/>
        </w:tcPr>
        <w:p w14:paraId="65658279" w14:textId="77777777" w:rsidR="00D616D0" w:rsidRDefault="00785CDA">
          <w:pPr>
            <w:spacing w:after="0" w:line="240" w:lineRule="auto"/>
            <w:jc w:val="center"/>
            <w:rPr>
              <w:rFonts w:ascii="Cambria" w:hAnsi="Cambria"/>
              <w:i/>
              <w:sz w:val="40"/>
              <w:szCs w:val="40"/>
              <w:lang w:val="es-ES_tradnl"/>
            </w:rPr>
          </w:pPr>
          <w:r>
            <w:rPr>
              <w:rFonts w:ascii="Cambria" w:eastAsia="Gill Sans MT" w:hAnsi="Cambria" w:cs="Gill Sans MT"/>
              <w:b/>
              <w:bCs/>
              <w:i/>
              <w:color w:val="1F4E79"/>
              <w:sz w:val="40"/>
              <w:szCs w:val="40"/>
              <w:lang w:val="es-ES_tradnl"/>
            </w:rPr>
            <w:t>Transformación</w:t>
          </w:r>
        </w:p>
        <w:p w14:paraId="024B4B61" w14:textId="77777777" w:rsidR="00D616D0" w:rsidRDefault="00785CDA">
          <w:pPr>
            <w:pStyle w:val="Encabezado"/>
            <w:tabs>
              <w:tab w:val="left" w:pos="330"/>
            </w:tabs>
            <w:spacing w:after="60"/>
            <w:jc w:val="center"/>
            <w:rPr>
              <w:rFonts w:ascii="Cambria" w:hAnsi="Cambria"/>
              <w:lang w:val="es-ES_tradnl"/>
            </w:rPr>
          </w:pPr>
          <w:r>
            <w:rPr>
              <w:rFonts w:ascii="Cambria" w:hAnsi="Cambria"/>
              <w:sz w:val="20"/>
              <w:szCs w:val="20"/>
              <w:lang w:val="es-ES_tradnl"/>
            </w:rPr>
            <w:t>ISSN: 2077-2955, RNPS: 2098</w:t>
          </w:r>
        </w:p>
      </w:tc>
      <w:tc>
        <w:tcPr>
          <w:tcW w:w="2126" w:type="dxa"/>
        </w:tcPr>
        <w:p w14:paraId="1D977F8A" w14:textId="77777777" w:rsidR="00D616D0" w:rsidRDefault="00785CDA">
          <w:pPr>
            <w:spacing w:after="0" w:line="240" w:lineRule="auto"/>
            <w:jc w:val="right"/>
            <w:rPr>
              <w:rFonts w:ascii="Cambria" w:hAnsi="Cambria"/>
              <w:sz w:val="20"/>
              <w:szCs w:val="20"/>
              <w:lang w:val="es-ES_tradnl"/>
            </w:rPr>
          </w:pPr>
          <w:r>
            <w:rPr>
              <w:rFonts w:ascii="Cambria" w:hAnsi="Cambria"/>
              <w:sz w:val="20"/>
              <w:szCs w:val="20"/>
              <w:lang w:val="es-ES_tradnl"/>
            </w:rPr>
            <w:t>Año 2025</w:t>
          </w:r>
        </w:p>
        <w:p w14:paraId="5804868F" w14:textId="77777777" w:rsidR="00D616D0" w:rsidRDefault="00785CDA">
          <w:pPr>
            <w:spacing w:after="0" w:line="240" w:lineRule="auto"/>
            <w:jc w:val="right"/>
            <w:rPr>
              <w:rFonts w:ascii="Cambria" w:hAnsi="Cambria"/>
              <w:sz w:val="20"/>
              <w:szCs w:val="20"/>
              <w:lang w:val="es-ES_tradnl"/>
            </w:rPr>
          </w:pPr>
          <w:r>
            <w:rPr>
              <w:rFonts w:ascii="Cambria" w:hAnsi="Cambria"/>
              <w:sz w:val="20"/>
              <w:szCs w:val="20"/>
              <w:lang w:val="es-ES_tradnl"/>
            </w:rPr>
            <w:t xml:space="preserve">Vol. 21, </w:t>
          </w:r>
          <w:r w:rsidR="004E2041">
            <w:rPr>
              <w:rFonts w:ascii="Cambria" w:hAnsi="Cambria"/>
              <w:sz w:val="20"/>
              <w:szCs w:val="20"/>
              <w:lang w:val="es-ES_tradnl"/>
            </w:rPr>
            <w:t>e568</w:t>
          </w:r>
        </w:p>
        <w:p w14:paraId="40AAF9FC" w14:textId="77777777" w:rsidR="00D616D0" w:rsidRDefault="00785CDA">
          <w:pPr>
            <w:pStyle w:val="Encabezado"/>
            <w:tabs>
              <w:tab w:val="left" w:pos="330"/>
            </w:tabs>
            <w:jc w:val="right"/>
            <w:rPr>
              <w:rFonts w:ascii="Cambria" w:hAnsi="Cambria"/>
              <w:lang w:val="es-ES_tradnl"/>
            </w:rPr>
          </w:pPr>
          <w:r>
            <w:rPr>
              <w:rFonts w:ascii="Cambria" w:hAnsi="Cambria"/>
              <w:sz w:val="20"/>
              <w:szCs w:val="20"/>
              <w:lang w:val="es-ES_tradnl"/>
            </w:rPr>
            <w:t>Publicación continua</w:t>
          </w:r>
        </w:p>
      </w:tc>
    </w:tr>
  </w:tbl>
  <w:p w14:paraId="46A2D45A" w14:textId="77777777" w:rsidR="00D616D0" w:rsidRDefault="00D616D0">
    <w:pPr>
      <w:pStyle w:val="Encabezado"/>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4962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C436C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2B6FF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000004"/>
    <w:multiLevelType w:val="hybridMultilevel"/>
    <w:tmpl w:val="D396DF2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0000005"/>
    <w:multiLevelType w:val="hybridMultilevel"/>
    <w:tmpl w:val="88E2C3EE"/>
    <w:lvl w:ilvl="0" w:tplc="C6A0898E">
      <w:start w:val="1"/>
      <w:numFmt w:val="bullet"/>
      <w:lvlText w:val="•"/>
      <w:lvlJc w:val="left"/>
      <w:pPr>
        <w:ind w:left="720" w:hanging="360"/>
      </w:pPr>
      <w:rPr>
        <w:rFonts w:ascii="Times-Roman" w:eastAsia="Calibr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DA26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FB21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935C9986"/>
    <w:lvl w:ilvl="0" w:tplc="3B429C2C">
      <w:start w:val="1"/>
      <w:numFmt w:val="lowerLetter"/>
      <w:lvlText w:val="%1)"/>
      <w:lvlJc w:val="left"/>
      <w:pPr>
        <w:tabs>
          <w:tab w:val="left" w:pos="1200"/>
        </w:tabs>
        <w:ind w:left="1200" w:hanging="360"/>
      </w:pPr>
      <w:rPr>
        <w:rFonts w:hint="default"/>
      </w:rPr>
    </w:lvl>
    <w:lvl w:ilvl="1" w:tplc="CB44955A" w:tentative="1">
      <w:start w:val="1"/>
      <w:numFmt w:val="lowerLetter"/>
      <w:lvlText w:val="%2."/>
      <w:lvlJc w:val="left"/>
      <w:pPr>
        <w:tabs>
          <w:tab w:val="left" w:pos="1920"/>
        </w:tabs>
        <w:ind w:left="1920" w:hanging="360"/>
      </w:pPr>
    </w:lvl>
    <w:lvl w:ilvl="2" w:tplc="19B246BA" w:tentative="1">
      <w:start w:val="1"/>
      <w:numFmt w:val="lowerRoman"/>
      <w:lvlText w:val="%3."/>
      <w:lvlJc w:val="right"/>
      <w:pPr>
        <w:tabs>
          <w:tab w:val="left" w:pos="2640"/>
        </w:tabs>
        <w:ind w:left="2640" w:hanging="180"/>
      </w:pPr>
    </w:lvl>
    <w:lvl w:ilvl="3" w:tplc="BBC87B0A" w:tentative="1">
      <w:start w:val="1"/>
      <w:numFmt w:val="decimal"/>
      <w:lvlText w:val="%4."/>
      <w:lvlJc w:val="left"/>
      <w:pPr>
        <w:tabs>
          <w:tab w:val="left" w:pos="3360"/>
        </w:tabs>
        <w:ind w:left="3360" w:hanging="360"/>
      </w:pPr>
    </w:lvl>
    <w:lvl w:ilvl="4" w:tplc="8E3C4070" w:tentative="1">
      <w:start w:val="1"/>
      <w:numFmt w:val="lowerLetter"/>
      <w:lvlText w:val="%5."/>
      <w:lvlJc w:val="left"/>
      <w:pPr>
        <w:tabs>
          <w:tab w:val="left" w:pos="4080"/>
        </w:tabs>
        <w:ind w:left="4080" w:hanging="360"/>
      </w:pPr>
    </w:lvl>
    <w:lvl w:ilvl="5" w:tplc="586C8466" w:tentative="1">
      <w:start w:val="1"/>
      <w:numFmt w:val="lowerRoman"/>
      <w:lvlText w:val="%6."/>
      <w:lvlJc w:val="right"/>
      <w:pPr>
        <w:tabs>
          <w:tab w:val="left" w:pos="4800"/>
        </w:tabs>
        <w:ind w:left="4800" w:hanging="180"/>
      </w:pPr>
    </w:lvl>
    <w:lvl w:ilvl="6" w:tplc="DC228910" w:tentative="1">
      <w:start w:val="1"/>
      <w:numFmt w:val="decimal"/>
      <w:lvlText w:val="%7."/>
      <w:lvlJc w:val="left"/>
      <w:pPr>
        <w:tabs>
          <w:tab w:val="left" w:pos="5520"/>
        </w:tabs>
        <w:ind w:left="5520" w:hanging="360"/>
      </w:pPr>
    </w:lvl>
    <w:lvl w:ilvl="7" w:tplc="AF3064FA" w:tentative="1">
      <w:start w:val="1"/>
      <w:numFmt w:val="lowerLetter"/>
      <w:lvlText w:val="%8."/>
      <w:lvlJc w:val="left"/>
      <w:pPr>
        <w:tabs>
          <w:tab w:val="left" w:pos="6240"/>
        </w:tabs>
        <w:ind w:left="6240" w:hanging="360"/>
      </w:pPr>
    </w:lvl>
    <w:lvl w:ilvl="8" w:tplc="251616B2" w:tentative="1">
      <w:start w:val="1"/>
      <w:numFmt w:val="lowerRoman"/>
      <w:lvlText w:val="%9."/>
      <w:lvlJc w:val="right"/>
      <w:pPr>
        <w:tabs>
          <w:tab w:val="left" w:pos="6960"/>
        </w:tabs>
        <w:ind w:left="6960" w:hanging="180"/>
      </w:pPr>
    </w:lvl>
  </w:abstractNum>
  <w:abstractNum w:abstractNumId="8" w15:restartNumberingAfterBreak="0">
    <w:nsid w:val="00000009"/>
    <w:multiLevelType w:val="hybridMultilevel"/>
    <w:tmpl w:val="529E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965E082A"/>
    <w:lvl w:ilvl="0" w:tplc="0C0A0001">
      <w:start w:val="1"/>
      <w:numFmt w:val="bullet"/>
      <w:lvlText w:val=""/>
      <w:lvlJc w:val="left"/>
      <w:pPr>
        <w:ind w:left="720" w:hanging="360"/>
      </w:pPr>
      <w:rPr>
        <w:rFonts w:ascii="Symbol" w:hAnsi="Symbol" w:hint="default"/>
      </w:rPr>
    </w:lvl>
    <w:lvl w:ilvl="1" w:tplc="854ACBC0">
      <w:start w:val="1"/>
      <w:numFmt w:val="bullet"/>
      <w:lvlText w:val="•"/>
      <w:lvlJc w:val="left"/>
      <w:pPr>
        <w:ind w:left="1905" w:hanging="825"/>
      </w:pPr>
      <w:rPr>
        <w:rFonts w:ascii="Calibri" w:eastAsia="Times New Roman" w:hAnsi="Calibri" w:cs="Times New Roman" w:hint="default"/>
        <w:w w:val="131"/>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9486546E"/>
    <w:lvl w:ilvl="0" w:tplc="04090001">
      <w:start w:val="1"/>
      <w:numFmt w:val="bullet"/>
      <w:lvlText w:val=""/>
      <w:lvlJc w:val="left"/>
      <w:pPr>
        <w:ind w:left="360" w:hanging="360"/>
      </w:pPr>
      <w:rPr>
        <w:rFonts w:ascii="Symbol" w:hAnsi="Symbol" w:hint="default"/>
      </w:rPr>
    </w:lvl>
    <w:lvl w:ilvl="1" w:tplc="C10201BE" w:tentative="1">
      <w:start w:val="1"/>
      <w:numFmt w:val="bullet"/>
      <w:lvlText w:val="o"/>
      <w:lvlJc w:val="left"/>
      <w:pPr>
        <w:ind w:left="1080" w:hanging="360"/>
      </w:pPr>
      <w:rPr>
        <w:rFonts w:ascii="Courier New" w:hAnsi="Courier New" w:cs="Courier New" w:hint="default"/>
      </w:rPr>
    </w:lvl>
    <w:lvl w:ilvl="2" w:tplc="1B224D78" w:tentative="1">
      <w:start w:val="1"/>
      <w:numFmt w:val="bullet"/>
      <w:lvlText w:val=""/>
      <w:lvlJc w:val="left"/>
      <w:pPr>
        <w:ind w:left="1800" w:hanging="360"/>
      </w:pPr>
      <w:rPr>
        <w:rFonts w:ascii="Wingdings" w:hAnsi="Wingdings" w:hint="default"/>
      </w:rPr>
    </w:lvl>
    <w:lvl w:ilvl="3" w:tplc="65D07B0C" w:tentative="1">
      <w:start w:val="1"/>
      <w:numFmt w:val="bullet"/>
      <w:lvlText w:val=""/>
      <w:lvlJc w:val="left"/>
      <w:pPr>
        <w:ind w:left="2520" w:hanging="360"/>
      </w:pPr>
      <w:rPr>
        <w:rFonts w:ascii="Symbol" w:hAnsi="Symbol" w:hint="default"/>
      </w:rPr>
    </w:lvl>
    <w:lvl w:ilvl="4" w:tplc="DF265452" w:tentative="1">
      <w:start w:val="1"/>
      <w:numFmt w:val="bullet"/>
      <w:lvlText w:val="o"/>
      <w:lvlJc w:val="left"/>
      <w:pPr>
        <w:ind w:left="3240" w:hanging="360"/>
      </w:pPr>
      <w:rPr>
        <w:rFonts w:ascii="Courier New" w:hAnsi="Courier New" w:cs="Courier New" w:hint="default"/>
      </w:rPr>
    </w:lvl>
    <w:lvl w:ilvl="5" w:tplc="41E449CA" w:tentative="1">
      <w:start w:val="1"/>
      <w:numFmt w:val="bullet"/>
      <w:lvlText w:val=""/>
      <w:lvlJc w:val="left"/>
      <w:pPr>
        <w:ind w:left="3960" w:hanging="360"/>
      </w:pPr>
      <w:rPr>
        <w:rFonts w:ascii="Wingdings" w:hAnsi="Wingdings" w:hint="default"/>
      </w:rPr>
    </w:lvl>
    <w:lvl w:ilvl="6" w:tplc="461AC3A2" w:tentative="1">
      <w:start w:val="1"/>
      <w:numFmt w:val="bullet"/>
      <w:lvlText w:val=""/>
      <w:lvlJc w:val="left"/>
      <w:pPr>
        <w:ind w:left="4680" w:hanging="360"/>
      </w:pPr>
      <w:rPr>
        <w:rFonts w:ascii="Symbol" w:hAnsi="Symbol" w:hint="default"/>
      </w:rPr>
    </w:lvl>
    <w:lvl w:ilvl="7" w:tplc="B0EAB37E" w:tentative="1">
      <w:start w:val="1"/>
      <w:numFmt w:val="bullet"/>
      <w:lvlText w:val="o"/>
      <w:lvlJc w:val="left"/>
      <w:pPr>
        <w:ind w:left="5400" w:hanging="360"/>
      </w:pPr>
      <w:rPr>
        <w:rFonts w:ascii="Courier New" w:hAnsi="Courier New" w:cs="Courier New" w:hint="default"/>
      </w:rPr>
    </w:lvl>
    <w:lvl w:ilvl="8" w:tplc="7AAA3002" w:tentative="1">
      <w:start w:val="1"/>
      <w:numFmt w:val="bullet"/>
      <w:lvlText w:val=""/>
      <w:lvlJc w:val="left"/>
      <w:pPr>
        <w:ind w:left="6120" w:hanging="360"/>
      </w:pPr>
      <w:rPr>
        <w:rFonts w:ascii="Wingdings" w:hAnsi="Wingdings" w:hint="default"/>
      </w:rPr>
    </w:lvl>
  </w:abstractNum>
  <w:abstractNum w:abstractNumId="11" w15:restartNumberingAfterBreak="0">
    <w:nsid w:val="0000000C"/>
    <w:multiLevelType w:val="hybridMultilevel"/>
    <w:tmpl w:val="D2E06A1C"/>
    <w:lvl w:ilvl="0" w:tplc="1BD652B2">
      <w:start w:val="2"/>
      <w:numFmt w:val="bullet"/>
      <w:lvlText w:val="•"/>
      <w:lvlJc w:val="left"/>
      <w:pPr>
        <w:ind w:left="1185" w:hanging="825"/>
      </w:pPr>
      <w:rPr>
        <w:rFonts w:ascii="Calibri" w:eastAsia="Arial"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AA86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000000E"/>
    <w:multiLevelType w:val="hybridMultilevel"/>
    <w:tmpl w:val="723E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000000F"/>
    <w:multiLevelType w:val="hybridMultilevel"/>
    <w:tmpl w:val="054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hybridMultilevel"/>
    <w:tmpl w:val="8C702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0000011"/>
    <w:multiLevelType w:val="hybridMultilevel"/>
    <w:tmpl w:val="15966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0000012"/>
    <w:multiLevelType w:val="hybridMultilevel"/>
    <w:tmpl w:val="2776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hybridMultilevel"/>
    <w:tmpl w:val="88942006"/>
    <w:lvl w:ilvl="0" w:tplc="E288179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0000014"/>
    <w:multiLevelType w:val="hybridMultilevel"/>
    <w:tmpl w:val="A4CCA3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E342050"/>
    <w:multiLevelType w:val="hybridMultilevel"/>
    <w:tmpl w:val="A064C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636812">
    <w:abstractNumId w:val="14"/>
  </w:num>
  <w:num w:numId="2" w16cid:durableId="124465513">
    <w:abstractNumId w:val="20"/>
  </w:num>
  <w:num w:numId="3" w16cid:durableId="160387498">
    <w:abstractNumId w:val="9"/>
  </w:num>
  <w:num w:numId="4" w16cid:durableId="47270777">
    <w:abstractNumId w:val="19"/>
  </w:num>
  <w:num w:numId="5" w16cid:durableId="1473281054">
    <w:abstractNumId w:val="1"/>
  </w:num>
  <w:num w:numId="6" w16cid:durableId="814032242">
    <w:abstractNumId w:val="3"/>
  </w:num>
  <w:num w:numId="7" w16cid:durableId="1633513049">
    <w:abstractNumId w:val="2"/>
  </w:num>
  <w:num w:numId="8" w16cid:durableId="777137347">
    <w:abstractNumId w:val="6"/>
  </w:num>
  <w:num w:numId="9" w16cid:durableId="540440635">
    <w:abstractNumId w:val="0"/>
  </w:num>
  <w:num w:numId="10" w16cid:durableId="543367085">
    <w:abstractNumId w:val="11"/>
  </w:num>
  <w:num w:numId="11" w16cid:durableId="774251447">
    <w:abstractNumId w:val="7"/>
  </w:num>
  <w:num w:numId="12" w16cid:durableId="771897726">
    <w:abstractNumId w:val="8"/>
  </w:num>
  <w:num w:numId="13" w16cid:durableId="314338935">
    <w:abstractNumId w:val="4"/>
  </w:num>
  <w:num w:numId="14" w16cid:durableId="183519338">
    <w:abstractNumId w:val="5"/>
  </w:num>
  <w:num w:numId="15" w16cid:durableId="1385713646">
    <w:abstractNumId w:val="10"/>
  </w:num>
  <w:num w:numId="16" w16cid:durableId="1360013531">
    <w:abstractNumId w:val="12"/>
  </w:num>
  <w:num w:numId="17" w16cid:durableId="310210567">
    <w:abstractNumId w:val="13"/>
  </w:num>
  <w:num w:numId="18" w16cid:durableId="638076723">
    <w:abstractNumId w:val="17"/>
  </w:num>
  <w:num w:numId="19" w16cid:durableId="1552882765">
    <w:abstractNumId w:val="15"/>
  </w:num>
  <w:num w:numId="20" w16cid:durableId="394939903">
    <w:abstractNumId w:val="16"/>
  </w:num>
  <w:num w:numId="21" w16cid:durableId="14501243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D0"/>
    <w:rsid w:val="00031040"/>
    <w:rsid w:val="000367D3"/>
    <w:rsid w:val="000F332D"/>
    <w:rsid w:val="00240934"/>
    <w:rsid w:val="00312591"/>
    <w:rsid w:val="0031415E"/>
    <w:rsid w:val="00321037"/>
    <w:rsid w:val="00397D70"/>
    <w:rsid w:val="004837EE"/>
    <w:rsid w:val="004E2041"/>
    <w:rsid w:val="004E419A"/>
    <w:rsid w:val="00577763"/>
    <w:rsid w:val="005879BA"/>
    <w:rsid w:val="006E4638"/>
    <w:rsid w:val="007072D2"/>
    <w:rsid w:val="00785CDA"/>
    <w:rsid w:val="007B5335"/>
    <w:rsid w:val="00857C70"/>
    <w:rsid w:val="00903062"/>
    <w:rsid w:val="0092646E"/>
    <w:rsid w:val="00977748"/>
    <w:rsid w:val="009A68E2"/>
    <w:rsid w:val="009E208E"/>
    <w:rsid w:val="009E4612"/>
    <w:rsid w:val="00BB2BA7"/>
    <w:rsid w:val="00BC6962"/>
    <w:rsid w:val="00C02305"/>
    <w:rsid w:val="00C156FA"/>
    <w:rsid w:val="00CC0AA3"/>
    <w:rsid w:val="00CD2C56"/>
    <w:rsid w:val="00D616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BB04"/>
  <w15:docId w15:val="{4A954D00-0280-49B3-9DBE-4DFB6D14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sz w:val="22"/>
      <w:szCs w:val="22"/>
      <w:lang w:val="en-US" w:eastAsia="en-US"/>
    </w:rPr>
  </w:style>
  <w:style w:type="paragraph" w:styleId="Ttulo1">
    <w:name w:val="heading 1"/>
    <w:basedOn w:val="Normal"/>
    <w:next w:val="Normal"/>
    <w:link w:val="Ttulo1Car"/>
    <w:uiPriority w:val="9"/>
    <w:qFormat/>
    <w:pPr>
      <w:keepNext/>
      <w:keepLines/>
      <w:widowControl/>
      <w:spacing w:before="240" w:after="0" w:line="259" w:lineRule="auto"/>
      <w:outlineLvl w:val="0"/>
    </w:pPr>
    <w:rPr>
      <w:rFonts w:ascii="Calibri Light" w:eastAsia="SimSun" w:hAnsi="Calibri Light" w:cs="SimSun"/>
      <w:color w:val="2E74B5"/>
      <w:sz w:val="32"/>
      <w:szCs w:val="32"/>
      <w:lang w:val="es-ES" w:eastAsia="es-ES"/>
    </w:rPr>
  </w:style>
  <w:style w:type="paragraph" w:styleId="Ttulo2">
    <w:name w:val="heading 2"/>
    <w:basedOn w:val="Normal"/>
    <w:next w:val="Normal"/>
    <w:link w:val="Ttulo2Car"/>
    <w:uiPriority w:val="9"/>
    <w:qFormat/>
    <w:pPr>
      <w:keepNext/>
      <w:keepLines/>
      <w:spacing w:before="40" w:after="0"/>
      <w:outlineLvl w:val="1"/>
    </w:pPr>
    <w:rPr>
      <w:rFonts w:ascii="Cambria" w:eastAsia="SimSun" w:hAnsi="Cambria" w:cs="SimSun"/>
      <w:color w:val="365F91"/>
      <w:sz w:val="26"/>
      <w:szCs w:val="26"/>
    </w:rPr>
  </w:style>
  <w:style w:type="paragraph" w:styleId="Ttulo5">
    <w:name w:val="heading 5"/>
    <w:basedOn w:val="Normal"/>
    <w:next w:val="Normal"/>
    <w:link w:val="Ttulo5Car"/>
    <w:uiPriority w:val="9"/>
    <w:qFormat/>
    <w:pPr>
      <w:keepNext/>
      <w:keepLines/>
      <w:spacing w:before="40" w:after="0"/>
      <w:outlineLvl w:val="4"/>
    </w:pPr>
    <w:rPr>
      <w:rFonts w:ascii="Cambria" w:eastAsia="SimSun" w:hAnsi="Cambria" w:cs="SimSun"/>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sz w:val="18"/>
      <w:szCs w:val="18"/>
    </w:rPr>
  </w:style>
  <w:style w:type="character" w:customStyle="1" w:styleId="TextodegloboCar">
    <w:name w:val="Texto de globo Car"/>
    <w:link w:val="Textodeglobo"/>
    <w:uiPriority w:val="99"/>
    <w:rPr>
      <w:rFonts w:ascii="Segoe UI" w:hAnsi="Segoe UI" w:cs="Segoe UI"/>
      <w:sz w:val="18"/>
      <w:szCs w:val="18"/>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paragraph" w:styleId="NormalWeb">
    <w:name w:val="Normal (Web)"/>
    <w:basedOn w:val="Normal"/>
    <w:pPr>
      <w:widowControl/>
      <w:spacing w:before="100" w:beforeAutospacing="1" w:after="100" w:afterAutospacing="1" w:line="240" w:lineRule="auto"/>
    </w:pPr>
    <w:rPr>
      <w:rFonts w:ascii="Arial" w:eastAsia="Times New Roman" w:hAnsi="Arial" w:cs="Arial"/>
      <w:sz w:val="24"/>
      <w:szCs w:val="24"/>
      <w:lang w:val="es-ES" w:eastAsia="es-ES"/>
    </w:rPr>
  </w:style>
  <w:style w:type="character" w:styleId="Hipervnculo">
    <w:name w:val="Hyperlink"/>
    <w:uiPriority w:val="99"/>
    <w:rPr>
      <w:color w:val="0563C1"/>
      <w:u w:val="single"/>
    </w:rPr>
  </w:style>
  <w:style w:type="character" w:customStyle="1" w:styleId="Ttulo1Car">
    <w:name w:val="Título 1 Car"/>
    <w:basedOn w:val="Fuentedeprrafopredeter"/>
    <w:link w:val="Ttulo1"/>
    <w:uiPriority w:val="9"/>
    <w:rPr>
      <w:rFonts w:ascii="Calibri Light" w:eastAsia="SimSun" w:hAnsi="Calibri Light" w:cs="SimSun"/>
      <w:color w:val="2E74B5"/>
      <w:sz w:val="32"/>
      <w:szCs w:val="32"/>
    </w:rPr>
  </w:style>
  <w:style w:type="character" w:styleId="Hipervnculovisitado">
    <w:name w:val="FollowedHyperlink"/>
    <w:basedOn w:val="Fuentedeprrafopredeter"/>
    <w:uiPriority w:val="99"/>
    <w:rPr>
      <w:color w:val="954F72"/>
      <w:u w:val="single"/>
    </w:rPr>
  </w:style>
  <w:style w:type="character" w:customStyle="1" w:styleId="Mencinsinresolver1">
    <w:name w:val="Mención sin resolver1"/>
    <w:basedOn w:val="Fuentedeprrafopredeter"/>
    <w:uiPriority w:val="99"/>
    <w:rPr>
      <w:color w:val="605E5C"/>
      <w:shd w:val="clear" w:color="auto" w:fill="E1DFDD"/>
    </w:rPr>
  </w:style>
  <w:style w:type="table" w:styleId="Tablaconcuadrcula">
    <w:name w:val="Table Grid"/>
    <w:basedOn w:val="Tablanormal"/>
    <w:uiPriority w:val="39"/>
    <w:rPr>
      <w:rFonts w:cs="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Pr>
      <w:rFonts w:ascii="Cambria" w:eastAsia="SimSun" w:hAnsi="Cambria" w:cs="SimSun"/>
      <w:color w:val="365F91"/>
      <w:sz w:val="26"/>
      <w:szCs w:val="26"/>
      <w:lang w:val="en-US" w:eastAsia="en-US"/>
    </w:rPr>
  </w:style>
  <w:style w:type="character" w:customStyle="1" w:styleId="Mencinsinresolver2">
    <w:name w:val="Mención sin resolver2"/>
    <w:basedOn w:val="Fuentedeprrafopredeter"/>
    <w:uiPriority w:val="99"/>
    <w:rPr>
      <w:color w:val="605E5C"/>
      <w:shd w:val="clear" w:color="auto" w:fill="E1DFDD"/>
    </w:rPr>
  </w:style>
  <w:style w:type="character" w:customStyle="1" w:styleId="versal">
    <w:name w:val="versal"/>
    <w:basedOn w:val="Fuentedeprrafopredeter"/>
  </w:style>
  <w:style w:type="character" w:customStyle="1" w:styleId="ListParagraphChar">
    <w:name w:val="List Paragraph Char"/>
    <w:link w:val="Prrafodelista11"/>
    <w:uiPriority w:val="34"/>
    <w:qFormat/>
  </w:style>
  <w:style w:type="paragraph" w:customStyle="1" w:styleId="Prrafodelista11">
    <w:name w:val="Párrafo de lista11"/>
    <w:basedOn w:val="Normal"/>
    <w:link w:val="ListParagraphChar"/>
    <w:uiPriority w:val="34"/>
    <w:qFormat/>
    <w:pPr>
      <w:widowControl/>
      <w:spacing w:after="0" w:line="240" w:lineRule="auto"/>
      <w:ind w:left="720"/>
      <w:contextualSpacing/>
    </w:pPr>
    <w:rPr>
      <w:sz w:val="20"/>
      <w:szCs w:val="20"/>
      <w:lang w:val="es-ES" w:eastAsia="es-ES"/>
    </w:rPr>
  </w:style>
  <w:style w:type="character" w:customStyle="1" w:styleId="Mencinsinresolver3">
    <w:name w:val="Mención sin resolver3"/>
    <w:basedOn w:val="Fuentedeprrafopredeter"/>
    <w:uiPriority w:val="99"/>
    <w:rPr>
      <w:color w:val="605E5C"/>
      <w:shd w:val="clear" w:color="auto" w:fill="E1DFDD"/>
    </w:rPr>
  </w:style>
  <w:style w:type="character" w:customStyle="1" w:styleId="Ttulo5Car">
    <w:name w:val="Título 5 Car"/>
    <w:basedOn w:val="Fuentedeprrafopredeter"/>
    <w:link w:val="Ttulo5"/>
    <w:uiPriority w:val="9"/>
    <w:rPr>
      <w:rFonts w:ascii="Cambria" w:eastAsia="SimSun" w:hAnsi="Cambria" w:cs="SimSun"/>
      <w:color w:val="365F91"/>
      <w:sz w:val="22"/>
      <w:szCs w:val="22"/>
      <w:lang w:val="en-US" w:eastAsia="en-US"/>
    </w:rPr>
  </w:style>
  <w:style w:type="character" w:customStyle="1" w:styleId="w-text-value">
    <w:name w:val="w-text-value"/>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0002-1354-2998" TargetMode="External"/><Relationship Id="rId13" Type="http://schemas.openxmlformats.org/officeDocument/2006/relationships/hyperlink" Target="https://doi.org/10.3389/fpsyg.2021.678819" TargetMode="External"/><Relationship Id="rId18" Type="http://schemas.openxmlformats.org/officeDocument/2006/relationships/hyperlink" Target="https://doi.org/10.1177/0170840608101474" TargetMode="External"/><Relationship Id="rId26" Type="http://schemas.openxmlformats.org/officeDocument/2006/relationships/hyperlink" Target="https://creativecomons.org/licenses/by-nc/4.0/deed.es_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1134/haaj.v18i.33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86/s12889-021-11906-2" TargetMode="External"/><Relationship Id="rId17" Type="http://schemas.openxmlformats.org/officeDocument/2006/relationships/hyperlink" Target="https://hdl.handle.net/10803/308315" TargetMode="External"/><Relationship Id="rId25" Type="http://schemas.openxmlformats.org/officeDocument/2006/relationships/hyperlink" Target="https://bibliodrogas.gob.cl/wp-content/uploads/2020/12/Gestion-escolar-preventiva-en-establecimientos-educacionales-para-la-prevencion-del-consumo-de-alcohol-y-otras-drogas-2018.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dalyc.org/articulo.oa?id=181562407001" TargetMode="External"/><Relationship Id="rId20" Type="http://schemas.openxmlformats.org/officeDocument/2006/relationships/hyperlink" Target="https://doi.org/10.1016/s0716-8640(11)7039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rovalientesando@gmail.com" TargetMode="External"/><Relationship Id="rId24" Type="http://schemas.openxmlformats.org/officeDocument/2006/relationships/hyperlink" Target="https://revistas.ult.edu.cu/index.php/didascalia/article/view/120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1703/0718-5162.(v.20.n43/2021.021)" TargetMode="External"/><Relationship Id="rId23" Type="http://schemas.openxmlformats.org/officeDocument/2006/relationships/hyperlink" Target="https://doi.org/10.1590/s0104-11692004000700011" TargetMode="External"/><Relationship Id="rId28" Type="http://schemas.openxmlformats.org/officeDocument/2006/relationships/image" Target="media/image2.jpeg"/><Relationship Id="rId36" Type="http://schemas.openxmlformats.org/officeDocument/2006/relationships/header" Target="header3.xml"/><Relationship Id="rId10" Type="http://schemas.openxmlformats.org/officeDocument/2006/relationships/hyperlink" Target="https://orcid.org/000-0002-7766-0715" TargetMode="External"/><Relationship Id="rId19" Type="http://schemas.openxmlformats.org/officeDocument/2006/relationships/hyperlink" Target="https://doi.org/10.12973/eurasia.2017.01236a" TargetMode="External"/><Relationship Id="rId31"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doi.org/10.22633/rpge.v25i2.15922" TargetMode="External"/><Relationship Id="rId22" Type="http://schemas.openxmlformats.org/officeDocument/2006/relationships/hyperlink" Target="https://www.ramajudicial.gov.co/documents/5454330/14491339/Norma.ISO.31000.2018.Espanol.pdf/cb482b2c-afd9-4699-b409-0732a5261486" TargetMode="External"/><Relationship Id="rId27" Type="http://schemas.openxmlformats.org/officeDocument/2006/relationships/image" Target="media/image1.jpeg"/><Relationship Id="rId30" Type="http://schemas.openxmlformats.org/officeDocument/2006/relationships/image" Target="media/image20.jpeg"/><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6CB2-BCCB-4C8F-B968-725F47BA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7656</Words>
  <Characters>42109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La prevención de la drogadicción en las secundarias básicas gestión desde el enfoque de riesgos</vt:lpstr>
    </vt:vector>
  </TitlesOfParts>
  <Company/>
  <LinksUpToDate>false</LinksUpToDate>
  <CharactersWithSpaces>49666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prevención de la drogadicción en las secundarias básicas gestión desde el enfoque de riesgos</dc:title>
  <dc:subject>Memoria científica original</dc:subject>
  <dc:creator>Daniel Pupo-Rivera;Pedro Valiente Sandó;Araiz Maturell Aguilera</dc:creator>
  <cp:lastModifiedBy>Adrián Eduardo Cancino Gutiérrez</cp:lastModifiedBy>
  <cp:revision>3</cp:revision>
  <cp:lastPrinted>2024-11-03T22:11:00Z</cp:lastPrinted>
  <dcterms:created xsi:type="dcterms:W3CDTF">2025-07-03T20:03:00Z</dcterms:created>
  <dcterms:modified xsi:type="dcterms:W3CDTF">2025-09-15T18:18:00Z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2017-11-20T00:00:00Z</vt:filetime>
  </property>
  <property fmtid="{D5CDD505-2E9C-101B-9397-08002B2CF9AE}" pid="4" name="ICV">
    <vt:lpwstr>eb200750226844f5bc620af7871c159b</vt:lpwstr>
  </property>
</Properties>
</file>