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D7C" w:rsidRDefault="00D829E8">
      <w:pPr>
        <w:spacing w:after="120"/>
        <w:ind w:right="50"/>
        <w:jc w:val="right"/>
        <w:rPr>
          <w:b/>
          <w:color w:val="000000"/>
          <w:sz w:val="24"/>
          <w:szCs w:val="24"/>
        </w:rPr>
      </w:pPr>
      <w:r>
        <w:rPr>
          <w:b/>
          <w:bCs/>
          <w:color w:val="000000"/>
          <w:sz w:val="24"/>
          <w:szCs w:val="24"/>
        </w:rPr>
        <w:t>Review study</w:t>
      </w:r>
    </w:p>
    <w:p w:rsidR="008B4D7C" w:rsidRDefault="00D829E8">
      <w:pPr>
        <w:spacing w:after="120"/>
        <w:ind w:right="50"/>
        <w:jc w:val="center"/>
        <w:rPr>
          <w:rFonts w:ascii="Cambria" w:hAnsi="Cambria"/>
          <w:b/>
          <w:color w:val="000000"/>
          <w:sz w:val="28"/>
          <w:szCs w:val="28"/>
        </w:rPr>
      </w:pPr>
      <w:r>
        <w:rPr>
          <w:rFonts w:ascii="Cambria" w:eastAsia="Gill Sans MT" w:hAnsi="Cambria" w:cs="Gill Sans MT"/>
          <w:b/>
          <w:bCs/>
          <w:color w:val="231F20"/>
          <w:sz w:val="28"/>
          <w:szCs w:val="28"/>
        </w:rPr>
        <w:t xml:space="preserve">Smart Diagnostics in the Management of </w:t>
      </w:r>
      <w:proofErr w:type="spellStart"/>
      <w:r>
        <w:rPr>
          <w:rFonts w:ascii="Cambria" w:eastAsia="Gill Sans MT" w:hAnsi="Cambria" w:cs="Gill Sans MT"/>
          <w:b/>
          <w:bCs/>
          <w:color w:val="231F20"/>
          <w:sz w:val="28"/>
          <w:szCs w:val="28"/>
        </w:rPr>
        <w:t>Interinstitutional</w:t>
      </w:r>
      <w:proofErr w:type="spellEnd"/>
      <w:r>
        <w:rPr>
          <w:rFonts w:ascii="Cambria" w:eastAsia="Gill Sans MT" w:hAnsi="Cambria" w:cs="Gill Sans MT"/>
          <w:b/>
          <w:bCs/>
          <w:color w:val="231F20"/>
          <w:sz w:val="28"/>
          <w:szCs w:val="28"/>
        </w:rPr>
        <w:t xml:space="preserve"> Agreements for University Educational Quality</w:t>
      </w:r>
    </w:p>
    <w:p w:rsidR="008B4D7C" w:rsidRPr="00394907" w:rsidRDefault="00D829E8">
      <w:pPr>
        <w:spacing w:after="240"/>
        <w:ind w:right="50"/>
        <w:jc w:val="center"/>
        <w:rPr>
          <w:rFonts w:ascii="Cambria" w:hAnsi="Cambria"/>
          <w:color w:val="000000"/>
          <w:sz w:val="28"/>
          <w:szCs w:val="28"/>
          <w:lang w:val="es-ES"/>
        </w:rPr>
      </w:pPr>
      <w:r>
        <w:rPr>
          <w:rFonts w:ascii="Cambria" w:eastAsia="Gill Sans MT" w:hAnsi="Cambria" w:cs="Gill Sans MT"/>
          <w:color w:val="231F20"/>
          <w:sz w:val="28"/>
          <w:szCs w:val="28"/>
          <w:lang w:val="es-ES"/>
        </w:rPr>
        <w:t>Diagnóstico inteligente en la gestión de convenios interinstitucionales para la calidad educativa universitaria</w:t>
      </w:r>
    </w:p>
    <w:p w:rsidR="008B4D7C" w:rsidRDefault="00D829E8">
      <w:pPr>
        <w:spacing w:after="0"/>
        <w:ind w:right="50"/>
        <w:rPr>
          <w:color w:val="000000"/>
          <w:sz w:val="24"/>
          <w:szCs w:val="24"/>
          <w:lang w:val="es-ES_tradnl"/>
        </w:rPr>
      </w:pPr>
      <w:proofErr w:type="spellStart"/>
      <w:r>
        <w:rPr>
          <w:color w:val="000000"/>
          <w:sz w:val="24"/>
          <w:szCs w:val="24"/>
          <w:lang w:val="es-ES_tradnl"/>
        </w:rPr>
        <w:t>Dilenia</w:t>
      </w:r>
      <w:proofErr w:type="spellEnd"/>
      <w:r>
        <w:rPr>
          <w:color w:val="000000"/>
          <w:sz w:val="24"/>
          <w:szCs w:val="24"/>
          <w:lang w:val="es-ES_tradnl"/>
        </w:rPr>
        <w:t xml:space="preserve"> Lizardo Barrera, </w:t>
      </w:r>
      <w:hyperlink r:id="rId8" w:history="1">
        <w:r>
          <w:rPr>
            <w:rStyle w:val="Hipervnculo"/>
            <w:noProof/>
            <w:sz w:val="24"/>
            <w:szCs w:val="24"/>
            <w:lang w:val="es-ES_tradnl"/>
          </w:rPr>
          <w:t>https://orcid.org/0009-0007-0051-0720</w:t>
        </w:r>
      </w:hyperlink>
      <w:r>
        <w:rPr>
          <w:color w:val="000000"/>
          <w:sz w:val="24"/>
          <w:szCs w:val="24"/>
          <w:lang w:val="es-ES_tradnl"/>
        </w:rPr>
        <w:t xml:space="preserve"> </w:t>
      </w:r>
    </w:p>
    <w:p w:rsidR="008B4D7C" w:rsidRDefault="00D829E8">
      <w:pPr>
        <w:spacing w:after="0"/>
        <w:ind w:right="50"/>
        <w:rPr>
          <w:color w:val="000000"/>
          <w:sz w:val="24"/>
          <w:szCs w:val="24"/>
          <w:lang w:val="es-ES_tradnl"/>
        </w:rPr>
      </w:pPr>
      <w:r>
        <w:rPr>
          <w:color w:val="000000"/>
          <w:sz w:val="24"/>
          <w:szCs w:val="24"/>
          <w:lang w:val="es-ES_tradnl"/>
        </w:rPr>
        <w:t xml:space="preserve"> Universidad Católica de Santo Domingo, República Dominicana</w:t>
      </w:r>
    </w:p>
    <w:p w:rsidR="008B4D7C" w:rsidRPr="00394907" w:rsidRDefault="00D829E8">
      <w:pPr>
        <w:spacing w:after="0"/>
        <w:ind w:right="50"/>
        <w:rPr>
          <w:color w:val="000000"/>
          <w:sz w:val="24"/>
          <w:szCs w:val="24"/>
        </w:rPr>
      </w:pPr>
      <w:hyperlink r:id="rId9" w:history="1">
        <w:r w:rsidRPr="00394907">
          <w:rPr>
            <w:rStyle w:val="Hipervnculo"/>
            <w:rFonts w:cs="Calibri"/>
            <w:sz w:val="24"/>
            <w:szCs w:val="24"/>
          </w:rPr>
          <w:t>lb.dilenia@gmail.com</w:t>
        </w:r>
      </w:hyperlink>
    </w:p>
    <w:p w:rsidR="008B4D7C" w:rsidRDefault="00D829E8">
      <w:pPr>
        <w:spacing w:after="120"/>
        <w:ind w:right="50"/>
        <w:jc w:val="center"/>
        <w:rPr>
          <w:rFonts w:cs="Calibri"/>
          <w:sz w:val="24"/>
          <w:szCs w:val="24"/>
        </w:rPr>
      </w:pPr>
      <w:r>
        <w:rPr>
          <w:rFonts w:eastAsia="Arial" w:cs="Calibri"/>
          <w:b/>
          <w:bCs/>
          <w:sz w:val="24"/>
          <w:szCs w:val="24"/>
        </w:rPr>
        <w:t>Abstract</w:t>
      </w:r>
    </w:p>
    <w:p w:rsidR="008B4D7C" w:rsidRDefault="00D829E8">
      <w:pPr>
        <w:spacing w:after="0"/>
        <w:ind w:right="51"/>
        <w:jc w:val="both"/>
        <w:rPr>
          <w:rFonts w:eastAsia="Arial" w:cs="Calibri"/>
          <w:bCs/>
          <w:sz w:val="24"/>
          <w:szCs w:val="24"/>
        </w:rPr>
      </w:pPr>
      <w:r>
        <w:rPr>
          <w:rFonts w:eastAsia="Arial" w:cs="Calibri"/>
          <w:b/>
          <w:bCs/>
          <w:sz w:val="24"/>
          <w:szCs w:val="24"/>
        </w:rPr>
        <w:t>Introduction</w:t>
      </w:r>
      <w:r>
        <w:rPr>
          <w:rFonts w:eastAsia="Arial" w:cs="Calibri"/>
          <w:sz w:val="24"/>
          <w:szCs w:val="24"/>
        </w:rPr>
        <w:t xml:space="preserve">: Collaboration </w:t>
      </w:r>
      <w:r>
        <w:rPr>
          <w:rFonts w:eastAsia="Arial" w:cs="Calibri"/>
          <w:sz w:val="24"/>
          <w:szCs w:val="24"/>
        </w:rPr>
        <w:t>and cooperation among universities are among the ways to promote shared global well-being. To achieve this, universities must take a proactive role in managing inter-institutional agreements so that they contribute to educational quality</w:t>
      </w:r>
    </w:p>
    <w:p w:rsidR="008B4D7C" w:rsidRDefault="00D829E8">
      <w:pPr>
        <w:spacing w:after="0"/>
        <w:ind w:right="51"/>
        <w:jc w:val="both"/>
        <w:rPr>
          <w:rFonts w:eastAsia="Arial" w:cs="Calibri"/>
          <w:bCs/>
          <w:sz w:val="24"/>
          <w:szCs w:val="24"/>
        </w:rPr>
      </w:pPr>
      <w:r>
        <w:rPr>
          <w:rFonts w:eastAsia="Arial" w:cs="Calibri"/>
          <w:b/>
          <w:bCs/>
          <w:sz w:val="24"/>
          <w:szCs w:val="24"/>
        </w:rPr>
        <w:t>Objective</w:t>
      </w:r>
      <w:r>
        <w:rPr>
          <w:rFonts w:eastAsia="Arial" w:cs="Calibri"/>
          <w:sz w:val="24"/>
          <w:szCs w:val="24"/>
        </w:rPr>
        <w:t>: To demo</w:t>
      </w:r>
      <w:r>
        <w:rPr>
          <w:rFonts w:eastAsia="Arial" w:cs="Calibri"/>
          <w:sz w:val="24"/>
          <w:szCs w:val="24"/>
        </w:rPr>
        <w:t>nstrate the contribution of an intelligent assessment, mediated by artificial intelligence and grounded in a systemic-historical-cultural approach, to the management of inter-institutional agreements in order to enhance the quality of university education.</w:t>
      </w:r>
    </w:p>
    <w:p w:rsidR="008B4D7C" w:rsidRDefault="00D829E8">
      <w:pPr>
        <w:spacing w:after="0"/>
        <w:ind w:right="51"/>
        <w:jc w:val="both"/>
        <w:rPr>
          <w:rFonts w:eastAsia="Arial" w:cs="Calibri"/>
          <w:bCs/>
          <w:sz w:val="24"/>
          <w:szCs w:val="24"/>
        </w:rPr>
      </w:pPr>
      <w:r>
        <w:rPr>
          <w:rFonts w:eastAsia="Arial" w:cs="Calibri"/>
          <w:b/>
          <w:bCs/>
          <w:sz w:val="24"/>
          <w:szCs w:val="24"/>
        </w:rPr>
        <w:t>Method</w:t>
      </w:r>
      <w:r>
        <w:rPr>
          <w:rFonts w:eastAsia="Arial" w:cs="Calibri"/>
          <w:sz w:val="24"/>
          <w:szCs w:val="24"/>
        </w:rPr>
        <w:t>: This research followed a mixed-methods approach that was descriptive and propositional in nature, with a qualitative focus. Theoretical methods were used to construct the conceptual and epistemological framework of the proposal, including syntheti</w:t>
      </w:r>
      <w:r>
        <w:rPr>
          <w:rFonts w:eastAsia="Arial" w:cs="Calibri"/>
          <w:sz w:val="24"/>
          <w:szCs w:val="24"/>
        </w:rPr>
        <w:t xml:space="preserve">c-analytic, inductive-deductive, and theoretical modeling approaches. Additionally, a literature review was conducted. Journals from Scopus, Web of Science, </w:t>
      </w:r>
      <w:proofErr w:type="spellStart"/>
      <w:r>
        <w:rPr>
          <w:rFonts w:eastAsia="Arial" w:cs="Calibri"/>
          <w:sz w:val="24"/>
          <w:szCs w:val="24"/>
        </w:rPr>
        <w:t>SciELO</w:t>
      </w:r>
      <w:proofErr w:type="spellEnd"/>
      <w:r>
        <w:rPr>
          <w:rFonts w:eastAsia="Arial" w:cs="Calibri"/>
          <w:sz w:val="24"/>
          <w:szCs w:val="24"/>
        </w:rPr>
        <w:t xml:space="preserve">, </w:t>
      </w:r>
      <w:proofErr w:type="spellStart"/>
      <w:r>
        <w:rPr>
          <w:rFonts w:eastAsia="Arial" w:cs="Calibri"/>
          <w:sz w:val="24"/>
          <w:szCs w:val="24"/>
        </w:rPr>
        <w:t>Redalyc</w:t>
      </w:r>
      <w:proofErr w:type="spellEnd"/>
      <w:r>
        <w:rPr>
          <w:rFonts w:eastAsia="Arial" w:cs="Calibri"/>
          <w:sz w:val="24"/>
          <w:szCs w:val="24"/>
        </w:rPr>
        <w:t xml:space="preserve">, </w:t>
      </w:r>
      <w:proofErr w:type="spellStart"/>
      <w:r>
        <w:rPr>
          <w:rFonts w:eastAsia="Arial" w:cs="Calibri"/>
          <w:sz w:val="24"/>
          <w:szCs w:val="24"/>
        </w:rPr>
        <w:t>Dialnet</w:t>
      </w:r>
      <w:proofErr w:type="spellEnd"/>
      <w:r>
        <w:rPr>
          <w:rFonts w:eastAsia="Arial" w:cs="Calibri"/>
          <w:sz w:val="24"/>
          <w:szCs w:val="24"/>
        </w:rPr>
        <w:t>, DOAJ, institutional repositories, and specialized sources on Artificial I</w:t>
      </w:r>
      <w:r>
        <w:rPr>
          <w:rFonts w:eastAsia="Arial" w:cs="Calibri"/>
          <w:sz w:val="24"/>
          <w:szCs w:val="24"/>
        </w:rPr>
        <w:t>ntelligence and education were consulted, covering the time period 2000–2025. The literature review process was organized into three stages: initial exploration, in-depth analysis, and systematization and integration.</w:t>
      </w:r>
    </w:p>
    <w:p w:rsidR="008B4D7C" w:rsidRDefault="00D829E8">
      <w:pPr>
        <w:spacing w:after="0"/>
        <w:ind w:right="51"/>
        <w:jc w:val="both"/>
        <w:rPr>
          <w:rFonts w:eastAsia="Arial" w:cs="Calibri"/>
          <w:bCs/>
          <w:sz w:val="24"/>
          <w:szCs w:val="24"/>
        </w:rPr>
      </w:pPr>
      <w:r>
        <w:rPr>
          <w:rFonts w:eastAsia="Arial" w:cs="Calibri"/>
          <w:b/>
          <w:bCs/>
          <w:sz w:val="24"/>
          <w:szCs w:val="24"/>
        </w:rPr>
        <w:t>Results</w:t>
      </w:r>
      <w:r>
        <w:rPr>
          <w:rFonts w:eastAsia="Arial" w:cs="Calibri"/>
          <w:sz w:val="24"/>
          <w:szCs w:val="24"/>
        </w:rPr>
        <w:t>: The analysis conducted made i</w:t>
      </w:r>
      <w:r>
        <w:rPr>
          <w:rFonts w:eastAsia="Arial" w:cs="Calibri"/>
          <w:sz w:val="24"/>
          <w:szCs w:val="24"/>
        </w:rPr>
        <w:t>t possible to characterize the management of agreements, the limitations of traditional assessment, the role, applications, and ethical principles of Artificial Intelligence as a mediator in such management, and a proposal for its three phases to enhance t</w:t>
      </w:r>
      <w:r>
        <w:rPr>
          <w:rFonts w:eastAsia="Arial" w:cs="Calibri"/>
          <w:sz w:val="24"/>
          <w:szCs w:val="24"/>
        </w:rPr>
        <w:t>he quality of higher education.</w:t>
      </w:r>
    </w:p>
    <w:p w:rsidR="008B4D7C" w:rsidRDefault="00D829E8">
      <w:pPr>
        <w:spacing w:after="120"/>
        <w:ind w:right="50"/>
        <w:jc w:val="both"/>
        <w:rPr>
          <w:rFonts w:eastAsia="Arial" w:cs="Calibri"/>
          <w:bCs/>
          <w:spacing w:val="1"/>
          <w:sz w:val="24"/>
          <w:szCs w:val="24"/>
        </w:rPr>
      </w:pPr>
      <w:r>
        <w:rPr>
          <w:rFonts w:eastAsia="Arial" w:cs="Calibri"/>
          <w:b/>
          <w:bCs/>
          <w:sz w:val="24"/>
          <w:szCs w:val="24"/>
        </w:rPr>
        <w:t>Conclusions</w:t>
      </w:r>
      <w:r>
        <w:rPr>
          <w:rFonts w:eastAsia="Arial" w:cs="Calibri"/>
          <w:sz w:val="24"/>
          <w:szCs w:val="24"/>
        </w:rPr>
        <w:t>: It is concluded that intelligent assessment contributes to educational quality through five mechanisms: strategic alignment, data-driven management, predictive capacity, ethical and social strengthening, and ins</w:t>
      </w:r>
      <w:r>
        <w:rPr>
          <w:rFonts w:eastAsia="Arial" w:cs="Calibri"/>
          <w:sz w:val="24"/>
          <w:szCs w:val="24"/>
        </w:rPr>
        <w:t>titutional learning. The proposal represents a significant step forward in transforming the management of agreements into a driver of quality and social change.</w:t>
      </w:r>
    </w:p>
    <w:p w:rsidR="008B4D7C" w:rsidRDefault="00D829E8">
      <w:pPr>
        <w:autoSpaceDE w:val="0"/>
        <w:autoSpaceDN w:val="0"/>
        <w:adjustRightInd w:val="0"/>
        <w:spacing w:after="240" w:line="240" w:lineRule="auto"/>
        <w:ind w:right="50"/>
        <w:jc w:val="both"/>
        <w:rPr>
          <w:rFonts w:cs="Calibri"/>
          <w:color w:val="2F5496"/>
          <w:sz w:val="24"/>
          <w:szCs w:val="24"/>
        </w:rPr>
      </w:pPr>
      <w:r>
        <w:rPr>
          <w:rFonts w:eastAsia="Arial" w:cs="Calibri"/>
          <w:b/>
          <w:bCs/>
          <w:sz w:val="24"/>
          <w:szCs w:val="24"/>
        </w:rPr>
        <w:t>Keywords:</w:t>
      </w:r>
      <w:r>
        <w:rPr>
          <w:rFonts w:eastAsia="Arial" w:cs="Calibri"/>
          <w:sz w:val="24"/>
          <w:szCs w:val="24"/>
        </w:rPr>
        <w:t xml:space="preserve"> intelligent assessment, management of agreements, educational quality, artificial int</w:t>
      </w:r>
      <w:r>
        <w:rPr>
          <w:rFonts w:eastAsia="Arial" w:cs="Calibri"/>
          <w:sz w:val="24"/>
          <w:szCs w:val="24"/>
        </w:rPr>
        <w:t>elligence.</w:t>
      </w:r>
    </w:p>
    <w:p w:rsidR="008B4D7C" w:rsidRPr="00394907" w:rsidRDefault="00D829E8">
      <w:pPr>
        <w:spacing w:after="120"/>
        <w:ind w:right="50"/>
        <w:jc w:val="center"/>
        <w:rPr>
          <w:rFonts w:cs="Calibri"/>
          <w:sz w:val="24"/>
          <w:szCs w:val="24"/>
          <w:lang w:val="es-ES"/>
        </w:rPr>
      </w:pPr>
      <w:r>
        <w:rPr>
          <w:rFonts w:eastAsia="Arial" w:cs="Calibri"/>
          <w:b/>
          <w:bCs/>
          <w:sz w:val="24"/>
          <w:szCs w:val="24"/>
          <w:lang w:val="es-ES"/>
        </w:rPr>
        <w:t>Resumen</w:t>
      </w:r>
    </w:p>
    <w:p w:rsidR="008B4D7C" w:rsidRPr="00394907" w:rsidRDefault="00D829E8">
      <w:pPr>
        <w:spacing w:after="0"/>
        <w:ind w:right="51"/>
        <w:jc w:val="both"/>
        <w:rPr>
          <w:rFonts w:eastAsia="Arial" w:cs="Calibri"/>
          <w:bCs/>
          <w:sz w:val="24"/>
          <w:szCs w:val="24"/>
          <w:lang w:val="es-ES"/>
        </w:rPr>
      </w:pPr>
      <w:r>
        <w:rPr>
          <w:rFonts w:eastAsia="Arial" w:cs="Calibri"/>
          <w:b/>
          <w:bCs/>
          <w:sz w:val="24"/>
          <w:szCs w:val="24"/>
          <w:lang w:val="es-ES"/>
        </w:rPr>
        <w:lastRenderedPageBreak/>
        <w:t>Introducción</w:t>
      </w:r>
      <w:r>
        <w:rPr>
          <w:rFonts w:eastAsia="Arial" w:cs="Calibri"/>
          <w:sz w:val="24"/>
          <w:szCs w:val="24"/>
          <w:lang w:val="es-ES"/>
        </w:rPr>
        <w:t>: La colaboración, y cooperación, entre universidades es una de las vías para promover el bienestar global compartido. Para su logro, las universidades deben asumir un papel proactivo en la gestión de convenios interinstituci</w:t>
      </w:r>
      <w:r>
        <w:rPr>
          <w:rFonts w:eastAsia="Arial" w:cs="Calibri"/>
          <w:sz w:val="24"/>
          <w:szCs w:val="24"/>
          <w:lang w:val="es-ES"/>
        </w:rPr>
        <w:t>onales de modo que tributen a la calidad educativa.</w:t>
      </w:r>
    </w:p>
    <w:p w:rsidR="008B4D7C" w:rsidRPr="00394907" w:rsidRDefault="00D829E8">
      <w:pPr>
        <w:spacing w:after="0"/>
        <w:ind w:right="51"/>
        <w:jc w:val="both"/>
        <w:rPr>
          <w:rFonts w:eastAsia="Arial" w:cs="Calibri"/>
          <w:bCs/>
          <w:sz w:val="24"/>
          <w:szCs w:val="24"/>
          <w:lang w:val="es-ES"/>
        </w:rPr>
      </w:pPr>
      <w:r>
        <w:rPr>
          <w:rFonts w:eastAsia="Arial" w:cs="Calibri"/>
          <w:b/>
          <w:bCs/>
          <w:sz w:val="24"/>
          <w:szCs w:val="24"/>
          <w:lang w:val="es-ES"/>
        </w:rPr>
        <w:t>Objetivo</w:t>
      </w:r>
      <w:r>
        <w:rPr>
          <w:rFonts w:eastAsia="Arial" w:cs="Calibri"/>
          <w:sz w:val="24"/>
          <w:szCs w:val="24"/>
          <w:lang w:val="es-ES"/>
        </w:rPr>
        <w:t>: Demostrar la contribución de la evaluación inteligente, mediada por la inteligencia artificial y el enfoque histórico cultural, para la gestión de convenios interinstitucionales y con ello la me</w:t>
      </w:r>
      <w:r>
        <w:rPr>
          <w:rFonts w:eastAsia="Arial" w:cs="Calibri"/>
          <w:sz w:val="24"/>
          <w:szCs w:val="24"/>
          <w:lang w:val="es-ES"/>
        </w:rPr>
        <w:t>jora de la calidad educativa universitaria.</w:t>
      </w:r>
    </w:p>
    <w:p w:rsidR="008B4D7C" w:rsidRPr="00394907" w:rsidRDefault="00D829E8">
      <w:pPr>
        <w:spacing w:after="0"/>
        <w:ind w:right="51"/>
        <w:jc w:val="both"/>
        <w:rPr>
          <w:rFonts w:eastAsia="Arial" w:cs="Calibri"/>
          <w:bCs/>
          <w:sz w:val="24"/>
          <w:szCs w:val="24"/>
          <w:lang w:val="es-ES"/>
        </w:rPr>
      </w:pPr>
      <w:r>
        <w:rPr>
          <w:rFonts w:eastAsia="Arial" w:cs="Calibri"/>
          <w:b/>
          <w:bCs/>
          <w:sz w:val="24"/>
          <w:szCs w:val="24"/>
          <w:lang w:val="es-ES"/>
        </w:rPr>
        <w:t>Método</w:t>
      </w:r>
      <w:r>
        <w:rPr>
          <w:rFonts w:eastAsia="Arial" w:cs="Calibri"/>
          <w:sz w:val="24"/>
          <w:szCs w:val="24"/>
          <w:lang w:val="es-ES"/>
        </w:rPr>
        <w:t>: La investigación asumió un enfoque mixto, de carácter descriptivo-propositivo, y con predominio cualitativo. Se utilizaron métodos teóricos para construir el andamiaje conceptual y epistemológico de la pr</w:t>
      </w:r>
      <w:r>
        <w:rPr>
          <w:rFonts w:eastAsia="Arial" w:cs="Calibri"/>
          <w:sz w:val="24"/>
          <w:szCs w:val="24"/>
          <w:lang w:val="es-ES"/>
        </w:rPr>
        <w:t xml:space="preserve">opuesta como el analítico sintético, inductivo deductivo, y la modelación teórica. Además, el método de revisión bibliográfica. Se consultaron revistas de </w:t>
      </w:r>
      <w:proofErr w:type="spellStart"/>
      <w:r>
        <w:rPr>
          <w:rFonts w:eastAsia="Arial" w:cs="Calibri"/>
          <w:sz w:val="24"/>
          <w:szCs w:val="24"/>
          <w:lang w:val="es-ES"/>
        </w:rPr>
        <w:t>Scopus</w:t>
      </w:r>
      <w:proofErr w:type="spellEnd"/>
      <w:r>
        <w:rPr>
          <w:rFonts w:eastAsia="Arial" w:cs="Calibri"/>
          <w:sz w:val="24"/>
          <w:szCs w:val="24"/>
          <w:lang w:val="es-ES"/>
        </w:rPr>
        <w:t xml:space="preserve">, Web of </w:t>
      </w:r>
      <w:proofErr w:type="spellStart"/>
      <w:r>
        <w:rPr>
          <w:rFonts w:eastAsia="Arial" w:cs="Calibri"/>
          <w:sz w:val="24"/>
          <w:szCs w:val="24"/>
          <w:lang w:val="es-ES"/>
        </w:rPr>
        <w:t>Science</w:t>
      </w:r>
      <w:proofErr w:type="spellEnd"/>
      <w:r>
        <w:rPr>
          <w:rFonts w:eastAsia="Arial" w:cs="Calibri"/>
          <w:sz w:val="24"/>
          <w:szCs w:val="24"/>
          <w:lang w:val="es-ES"/>
        </w:rPr>
        <w:t xml:space="preserve">, </w:t>
      </w:r>
      <w:proofErr w:type="spellStart"/>
      <w:r>
        <w:rPr>
          <w:rFonts w:eastAsia="Arial" w:cs="Calibri"/>
          <w:sz w:val="24"/>
          <w:szCs w:val="24"/>
          <w:lang w:val="es-ES"/>
        </w:rPr>
        <w:t>SciELO</w:t>
      </w:r>
      <w:proofErr w:type="spellEnd"/>
      <w:r>
        <w:rPr>
          <w:rFonts w:eastAsia="Arial" w:cs="Calibri"/>
          <w:sz w:val="24"/>
          <w:szCs w:val="24"/>
          <w:lang w:val="es-ES"/>
        </w:rPr>
        <w:t xml:space="preserve">, </w:t>
      </w:r>
      <w:proofErr w:type="spellStart"/>
      <w:r>
        <w:rPr>
          <w:rFonts w:eastAsia="Arial" w:cs="Calibri"/>
          <w:sz w:val="24"/>
          <w:szCs w:val="24"/>
          <w:lang w:val="es-ES"/>
        </w:rPr>
        <w:t>Redalyc</w:t>
      </w:r>
      <w:proofErr w:type="spellEnd"/>
      <w:r>
        <w:rPr>
          <w:rFonts w:eastAsia="Arial" w:cs="Calibri"/>
          <w:sz w:val="24"/>
          <w:szCs w:val="24"/>
          <w:lang w:val="es-ES"/>
        </w:rPr>
        <w:t xml:space="preserve">, </w:t>
      </w:r>
      <w:proofErr w:type="spellStart"/>
      <w:r>
        <w:rPr>
          <w:rFonts w:eastAsia="Arial" w:cs="Calibri"/>
          <w:sz w:val="24"/>
          <w:szCs w:val="24"/>
          <w:lang w:val="es-ES"/>
        </w:rPr>
        <w:t>Dialnet</w:t>
      </w:r>
      <w:proofErr w:type="spellEnd"/>
      <w:r>
        <w:rPr>
          <w:rFonts w:eastAsia="Arial" w:cs="Calibri"/>
          <w:sz w:val="24"/>
          <w:szCs w:val="24"/>
          <w:lang w:val="es-ES"/>
        </w:rPr>
        <w:t>, DOAJ, repositorios institucionales, y fuentes espec</w:t>
      </w:r>
      <w:r>
        <w:rPr>
          <w:rFonts w:eastAsia="Arial" w:cs="Calibri"/>
          <w:sz w:val="24"/>
          <w:szCs w:val="24"/>
          <w:lang w:val="es-ES"/>
        </w:rPr>
        <w:t>ializadas en Inteligencia Artificial (IA) y educación, en el rango de tiempo 2000–2025. El proceso de revisión documental se organizó en tres momentos: exploración inicial, análisis en profundidad, y sistematización e integración.</w:t>
      </w:r>
    </w:p>
    <w:p w:rsidR="008B4D7C" w:rsidRPr="00394907" w:rsidRDefault="00D829E8">
      <w:pPr>
        <w:spacing w:after="0"/>
        <w:ind w:right="51"/>
        <w:jc w:val="both"/>
        <w:rPr>
          <w:rFonts w:eastAsia="Arial" w:cs="Calibri"/>
          <w:bCs/>
          <w:sz w:val="24"/>
          <w:szCs w:val="24"/>
          <w:lang w:val="es-ES"/>
        </w:rPr>
      </w:pPr>
      <w:r>
        <w:rPr>
          <w:rFonts w:eastAsia="Arial" w:cs="Calibri"/>
          <w:b/>
          <w:bCs/>
          <w:sz w:val="24"/>
          <w:szCs w:val="24"/>
          <w:lang w:val="es-ES"/>
        </w:rPr>
        <w:t>Resultados</w:t>
      </w:r>
      <w:r>
        <w:rPr>
          <w:rFonts w:eastAsia="Arial" w:cs="Calibri"/>
          <w:sz w:val="24"/>
          <w:szCs w:val="24"/>
          <w:lang w:val="es-ES"/>
        </w:rPr>
        <w:t>: La fundamenta</w:t>
      </w:r>
      <w:r>
        <w:rPr>
          <w:rFonts w:eastAsia="Arial" w:cs="Calibri"/>
          <w:sz w:val="24"/>
          <w:szCs w:val="24"/>
          <w:lang w:val="es-ES"/>
        </w:rPr>
        <w:t>ción realizada permitió caracterizar la gestión de convenios, limitaciones del diagnóstico tradicional, rol, aplicaciones y principios éticos de la Inteligencia Artificial como mediadora de dicha gestión, propuesta de sus tres fases para potenciar la calid</w:t>
      </w:r>
      <w:r>
        <w:rPr>
          <w:rFonts w:eastAsia="Arial" w:cs="Calibri"/>
          <w:sz w:val="24"/>
          <w:szCs w:val="24"/>
          <w:lang w:val="es-ES"/>
        </w:rPr>
        <w:t>ad educativa universitaria.</w:t>
      </w:r>
    </w:p>
    <w:p w:rsidR="008B4D7C" w:rsidRPr="00394907" w:rsidRDefault="00D829E8">
      <w:pPr>
        <w:spacing w:after="120"/>
        <w:ind w:right="50"/>
        <w:jc w:val="both"/>
        <w:rPr>
          <w:rFonts w:eastAsia="Arial" w:cs="Calibri"/>
          <w:bCs/>
          <w:sz w:val="24"/>
          <w:szCs w:val="24"/>
          <w:lang w:val="es-ES"/>
        </w:rPr>
      </w:pPr>
      <w:r>
        <w:rPr>
          <w:rFonts w:eastAsia="Arial" w:cs="Calibri"/>
          <w:b/>
          <w:bCs/>
          <w:sz w:val="24"/>
          <w:szCs w:val="24"/>
          <w:lang w:val="es-ES"/>
        </w:rPr>
        <w:t>Conclusiones</w:t>
      </w:r>
      <w:r>
        <w:rPr>
          <w:rFonts w:eastAsia="Arial" w:cs="Calibri"/>
          <w:sz w:val="24"/>
          <w:szCs w:val="24"/>
          <w:lang w:val="es-ES"/>
        </w:rPr>
        <w:t xml:space="preserve">: Se concluye que el diagnóstico inteligente contribuye a la calidad educativa mediante cinco mecanismos: alineación estratégica, gestión basada en datos, capacidad predictiva, fortalecimiento ético-social y </w:t>
      </w:r>
      <w:r>
        <w:rPr>
          <w:rFonts w:eastAsia="Arial" w:cs="Calibri"/>
          <w:sz w:val="24"/>
          <w:szCs w:val="24"/>
          <w:lang w:val="es-ES"/>
        </w:rPr>
        <w:t>aprendizaje institucional. La propuesta constituye un avance significativo para transformar la gestión de convenios en un motor de calidad, y de cambio social.</w:t>
      </w:r>
    </w:p>
    <w:p w:rsidR="008B4D7C" w:rsidRPr="00394907" w:rsidRDefault="00D829E8">
      <w:pPr>
        <w:autoSpaceDE w:val="0"/>
        <w:autoSpaceDN w:val="0"/>
        <w:adjustRightInd w:val="0"/>
        <w:spacing w:after="240" w:line="240" w:lineRule="auto"/>
        <w:ind w:right="50"/>
        <w:jc w:val="both"/>
        <w:rPr>
          <w:rFonts w:cs="Calibri"/>
          <w:color w:val="2F5496"/>
          <w:sz w:val="24"/>
          <w:szCs w:val="24"/>
          <w:lang w:val="es-ES"/>
        </w:rPr>
      </w:pPr>
      <w:r>
        <w:rPr>
          <w:rFonts w:eastAsia="Arial" w:cs="Calibri"/>
          <w:b/>
          <w:bCs/>
          <w:sz w:val="24"/>
          <w:szCs w:val="24"/>
          <w:lang w:val="es-ES"/>
        </w:rPr>
        <w:t xml:space="preserve">Palabras claves: </w:t>
      </w:r>
      <w:r>
        <w:rPr>
          <w:rFonts w:eastAsia="Arial" w:cs="Calibri"/>
          <w:sz w:val="24"/>
          <w:szCs w:val="24"/>
          <w:lang w:val="es-ES"/>
        </w:rPr>
        <w:t xml:space="preserve">diagnóstico inteligente, gestión de convenios, calidad educativa, inteligencia </w:t>
      </w:r>
      <w:r>
        <w:rPr>
          <w:rFonts w:eastAsia="Arial" w:cs="Calibri"/>
          <w:sz w:val="24"/>
          <w:szCs w:val="24"/>
          <w:lang w:val="es-ES"/>
        </w:rPr>
        <w:t>artificial</w:t>
      </w:r>
    </w:p>
    <w:p w:rsidR="008B4D7C" w:rsidRDefault="00D829E8">
      <w:pPr>
        <w:spacing w:after="0"/>
        <w:ind w:right="50"/>
        <w:jc w:val="both"/>
        <w:rPr>
          <w:rFonts w:eastAsia="Arial" w:cs="Calibri"/>
          <w:b/>
          <w:sz w:val="24"/>
          <w:szCs w:val="24"/>
        </w:rPr>
      </w:pPr>
      <w:r>
        <w:rPr>
          <w:rFonts w:eastAsia="Arial" w:cs="Calibri"/>
          <w:b/>
          <w:bCs/>
          <w:sz w:val="24"/>
          <w:szCs w:val="24"/>
        </w:rPr>
        <w:t xml:space="preserve">Received: </w:t>
      </w:r>
      <w:r w:rsidR="00394907">
        <w:rPr>
          <w:rFonts w:eastAsia="Arial" w:cs="Calibri"/>
          <w:sz w:val="24"/>
          <w:szCs w:val="24"/>
        </w:rPr>
        <w:t>July 27, 2026</w:t>
      </w:r>
    </w:p>
    <w:p w:rsidR="008B4D7C" w:rsidRDefault="00D829E8">
      <w:pPr>
        <w:spacing w:after="480"/>
        <w:ind w:right="51"/>
        <w:jc w:val="both"/>
        <w:rPr>
          <w:rFonts w:eastAsia="Arial" w:cs="Calibri"/>
          <w:sz w:val="24"/>
          <w:szCs w:val="24"/>
        </w:rPr>
      </w:pPr>
      <w:r>
        <w:rPr>
          <w:rFonts w:eastAsia="Arial" w:cs="Calibri"/>
          <w:b/>
          <w:bCs/>
          <w:sz w:val="24"/>
          <w:szCs w:val="24"/>
        </w:rPr>
        <w:t xml:space="preserve">Approved: </w:t>
      </w:r>
      <w:r w:rsidR="00394907">
        <w:rPr>
          <w:rFonts w:eastAsia="Arial" w:cs="Calibri"/>
          <w:sz w:val="24"/>
          <w:szCs w:val="24"/>
        </w:rPr>
        <w:t>September 29, 2026</w:t>
      </w:r>
    </w:p>
    <w:p w:rsidR="008B4D7C" w:rsidRDefault="00D829E8">
      <w:pPr>
        <w:autoSpaceDE w:val="0"/>
        <w:autoSpaceDN w:val="0"/>
        <w:adjustRightInd w:val="0"/>
        <w:spacing w:after="120"/>
        <w:ind w:right="50"/>
        <w:jc w:val="both"/>
        <w:rPr>
          <w:rFonts w:cs="Calibri"/>
          <w:sz w:val="24"/>
          <w:szCs w:val="24"/>
        </w:rPr>
      </w:pPr>
      <w:r>
        <w:rPr>
          <w:rFonts w:eastAsia="Arial" w:cs="Calibri"/>
          <w:b/>
          <w:bCs/>
          <w:sz w:val="24"/>
          <w:szCs w:val="24"/>
        </w:rPr>
        <w:t>Introduction</w:t>
      </w:r>
    </w:p>
    <w:p w:rsidR="008B4D7C" w:rsidRDefault="00D829E8">
      <w:pPr>
        <w:autoSpaceDE w:val="0"/>
        <w:autoSpaceDN w:val="0"/>
        <w:adjustRightInd w:val="0"/>
        <w:spacing w:after="120"/>
        <w:ind w:right="50"/>
        <w:jc w:val="both"/>
        <w:rPr>
          <w:rFonts w:cs="Calibri"/>
          <w:sz w:val="24"/>
          <w:szCs w:val="24"/>
        </w:rPr>
      </w:pPr>
      <w:r>
        <w:rPr>
          <w:rFonts w:cs="Calibri"/>
          <w:sz w:val="24"/>
          <w:szCs w:val="24"/>
        </w:rPr>
        <w:t>The COVID health crisis exposed the inequalities existing in educational systems, driving the need to transform educational processes, and showed how fragile, vulnerable and interconnected we are, as well as the sense of uncertainty about the future, the n</w:t>
      </w:r>
      <w:r>
        <w:rPr>
          <w:rFonts w:cs="Calibri"/>
          <w:sz w:val="24"/>
          <w:szCs w:val="24"/>
        </w:rPr>
        <w:t>eed to change the course we are on, and the need to harness the great potential of education to guarantee the sustainable development of society; in this sense, the new social contract for education issued a call for international solidarity and cooperatio</w:t>
      </w:r>
      <w:r>
        <w:rPr>
          <w:rFonts w:cs="Calibri"/>
          <w:sz w:val="24"/>
          <w:szCs w:val="24"/>
        </w:rPr>
        <w:t xml:space="preserve">n (Mendoza </w:t>
      </w:r>
      <w:r>
        <w:rPr>
          <w:rFonts w:cs="Calibri"/>
          <w:i/>
          <w:iCs/>
          <w:sz w:val="24"/>
          <w:szCs w:val="24"/>
        </w:rPr>
        <w:t>et al</w:t>
      </w:r>
      <w:r>
        <w:rPr>
          <w:rFonts w:cs="Calibri"/>
          <w:sz w:val="24"/>
          <w:szCs w:val="24"/>
        </w:rPr>
        <w:t>., 2024).</w:t>
      </w:r>
    </w:p>
    <w:p w:rsidR="008B4D7C" w:rsidRDefault="00D829E8">
      <w:pPr>
        <w:autoSpaceDE w:val="0"/>
        <w:autoSpaceDN w:val="0"/>
        <w:adjustRightInd w:val="0"/>
        <w:spacing w:after="0"/>
        <w:ind w:right="51"/>
        <w:jc w:val="both"/>
        <w:rPr>
          <w:rFonts w:cs="Calibri"/>
          <w:sz w:val="24"/>
          <w:szCs w:val="24"/>
        </w:rPr>
      </w:pPr>
      <w:r>
        <w:rPr>
          <w:rFonts w:cs="Calibri"/>
          <w:sz w:val="24"/>
          <w:szCs w:val="24"/>
        </w:rPr>
        <w:lastRenderedPageBreak/>
        <w:t xml:space="preserve">That social contract, which urges us to imagine our futures together, advocates for the need for common knowledge; in this regard, it makes the following statements in relation to the management of </w:t>
      </w:r>
      <w:proofErr w:type="spellStart"/>
      <w:r>
        <w:rPr>
          <w:rFonts w:cs="Calibri"/>
          <w:sz w:val="24"/>
          <w:szCs w:val="24"/>
        </w:rPr>
        <w:t>interinstitutional</w:t>
      </w:r>
      <w:proofErr w:type="spellEnd"/>
      <w:r>
        <w:rPr>
          <w:rFonts w:cs="Calibri"/>
          <w:sz w:val="24"/>
          <w:szCs w:val="24"/>
        </w:rPr>
        <w:t xml:space="preserve"> agreements by</w:t>
      </w:r>
      <w:r>
        <w:rPr>
          <w:rFonts w:cs="Calibri"/>
          <w:sz w:val="24"/>
          <w:szCs w:val="24"/>
        </w:rPr>
        <w:t xml:space="preserve"> universities: </w:t>
      </w:r>
    </w:p>
    <w:p w:rsidR="008B4D7C" w:rsidRDefault="00D829E8">
      <w:pPr>
        <w:pStyle w:val="Prrafodelista"/>
        <w:numPr>
          <w:ilvl w:val="0"/>
          <w:numId w:val="1"/>
        </w:numPr>
        <w:autoSpaceDE w:val="0"/>
        <w:autoSpaceDN w:val="0"/>
        <w:adjustRightInd w:val="0"/>
        <w:spacing w:after="120"/>
        <w:ind w:left="709" w:right="50" w:hanging="349"/>
        <w:jc w:val="both"/>
        <w:rPr>
          <w:rFonts w:cs="Calibri"/>
          <w:sz w:val="24"/>
          <w:szCs w:val="24"/>
        </w:rPr>
      </w:pPr>
      <w:r>
        <w:rPr>
          <w:rFonts w:cs="Calibri"/>
          <w:sz w:val="24"/>
          <w:szCs w:val="24"/>
        </w:rPr>
        <w:t>New research possibilities should be prioritized, rather than only creating knowledge limited by institutional and/or regional norms.</w:t>
      </w:r>
    </w:p>
    <w:p w:rsidR="008B4D7C" w:rsidRDefault="00D829E8">
      <w:pPr>
        <w:pStyle w:val="Prrafodelista"/>
        <w:numPr>
          <w:ilvl w:val="0"/>
          <w:numId w:val="1"/>
        </w:numPr>
        <w:autoSpaceDE w:val="0"/>
        <w:autoSpaceDN w:val="0"/>
        <w:adjustRightInd w:val="0"/>
        <w:spacing w:after="120"/>
        <w:ind w:left="709" w:right="50" w:hanging="349"/>
        <w:jc w:val="both"/>
        <w:rPr>
          <w:rFonts w:cs="Calibri"/>
          <w:sz w:val="24"/>
          <w:szCs w:val="24"/>
        </w:rPr>
      </w:pPr>
      <w:r>
        <w:rPr>
          <w:rFonts w:cs="Calibri"/>
          <w:sz w:val="24"/>
          <w:szCs w:val="24"/>
        </w:rPr>
        <w:t>It should be recognized that there are multiple forms of knowledge and that the use of knowledge dissemina</w:t>
      </w:r>
      <w:r>
        <w:rPr>
          <w:rFonts w:cs="Calibri"/>
          <w:sz w:val="24"/>
          <w:szCs w:val="24"/>
        </w:rPr>
        <w:t>tion in different languages is increasing, for which inclusion and diversity must be ensured.</w:t>
      </w:r>
    </w:p>
    <w:p w:rsidR="008B4D7C" w:rsidRDefault="00D829E8">
      <w:pPr>
        <w:pStyle w:val="Prrafodelista"/>
        <w:numPr>
          <w:ilvl w:val="0"/>
          <w:numId w:val="1"/>
        </w:numPr>
        <w:autoSpaceDE w:val="0"/>
        <w:autoSpaceDN w:val="0"/>
        <w:adjustRightInd w:val="0"/>
        <w:spacing w:after="120"/>
        <w:ind w:left="709" w:right="50" w:hanging="349"/>
        <w:jc w:val="both"/>
        <w:rPr>
          <w:rFonts w:cs="Calibri"/>
          <w:sz w:val="24"/>
          <w:szCs w:val="24"/>
        </w:rPr>
      </w:pPr>
      <w:r>
        <w:rPr>
          <w:rFonts w:cs="Calibri"/>
          <w:sz w:val="24"/>
          <w:szCs w:val="24"/>
        </w:rPr>
        <w:t xml:space="preserve">Collaboration and cooperation among universities is one of the ways to promote shared global well-being and to transform the future (Whitley, 2012; Mendoza </w:t>
      </w:r>
      <w:r>
        <w:rPr>
          <w:rFonts w:cs="Calibri"/>
          <w:i/>
          <w:iCs/>
          <w:sz w:val="24"/>
          <w:szCs w:val="24"/>
        </w:rPr>
        <w:t>et al</w:t>
      </w:r>
      <w:r>
        <w:rPr>
          <w:rFonts w:cs="Calibri"/>
          <w:sz w:val="24"/>
          <w:szCs w:val="24"/>
        </w:rPr>
        <w:t>.</w:t>
      </w:r>
      <w:r>
        <w:rPr>
          <w:rFonts w:cs="Calibri"/>
          <w:sz w:val="24"/>
          <w:szCs w:val="24"/>
        </w:rPr>
        <w:t xml:space="preserve">, 2024). </w:t>
      </w:r>
    </w:p>
    <w:p w:rsidR="008B4D7C" w:rsidRPr="00394907" w:rsidRDefault="00D829E8">
      <w:pPr>
        <w:autoSpaceDE w:val="0"/>
        <w:autoSpaceDN w:val="0"/>
        <w:adjustRightInd w:val="0"/>
        <w:spacing w:after="120"/>
        <w:ind w:right="50"/>
        <w:jc w:val="both"/>
        <w:rPr>
          <w:rFonts w:cs="Calibri"/>
          <w:spacing w:val="-6"/>
          <w:sz w:val="24"/>
          <w:szCs w:val="24"/>
        </w:rPr>
      </w:pPr>
      <w:r w:rsidRPr="00394907">
        <w:rPr>
          <w:rFonts w:cs="Calibri"/>
          <w:spacing w:val="-6"/>
          <w:sz w:val="24"/>
          <w:szCs w:val="24"/>
        </w:rPr>
        <w:t xml:space="preserve">To achieve these proposals, universities must take a proactive role in the management of </w:t>
      </w:r>
      <w:proofErr w:type="spellStart"/>
      <w:r w:rsidRPr="00394907">
        <w:rPr>
          <w:rFonts w:cs="Calibri"/>
          <w:spacing w:val="-6"/>
          <w:sz w:val="24"/>
          <w:szCs w:val="24"/>
        </w:rPr>
        <w:t>interinstitutional</w:t>
      </w:r>
      <w:proofErr w:type="spellEnd"/>
      <w:r w:rsidRPr="00394907">
        <w:rPr>
          <w:rFonts w:cs="Calibri"/>
          <w:spacing w:val="-6"/>
          <w:sz w:val="24"/>
          <w:szCs w:val="24"/>
        </w:rPr>
        <w:t xml:space="preserve"> agreements in order to reimagine the future of higher education institutions through powerful, ethical and transformative alliances that c</w:t>
      </w:r>
      <w:r w:rsidRPr="00394907">
        <w:rPr>
          <w:rFonts w:cs="Calibri"/>
          <w:spacing w:val="-6"/>
          <w:sz w:val="24"/>
          <w:szCs w:val="24"/>
        </w:rPr>
        <w:t>ontribute to educational quality, ensuring that the academic offering responds to the real needs of the country (</w:t>
      </w:r>
      <w:r w:rsidRPr="00394907">
        <w:rPr>
          <w:rFonts w:cs="Calibri"/>
          <w:i/>
          <w:iCs/>
          <w:spacing w:val="-6"/>
          <w:sz w:val="24"/>
          <w:szCs w:val="24"/>
        </w:rPr>
        <w:t>Mendoza</w:t>
      </w:r>
      <w:r w:rsidRPr="00394907">
        <w:rPr>
          <w:rFonts w:cs="Calibri"/>
          <w:spacing w:val="-6"/>
          <w:sz w:val="24"/>
          <w:szCs w:val="24"/>
        </w:rPr>
        <w:t xml:space="preserve"> </w:t>
      </w:r>
      <w:r w:rsidRPr="00394907">
        <w:rPr>
          <w:rFonts w:cs="Calibri"/>
          <w:i/>
          <w:iCs/>
          <w:spacing w:val="-6"/>
          <w:sz w:val="24"/>
          <w:szCs w:val="24"/>
        </w:rPr>
        <w:t>et al</w:t>
      </w:r>
      <w:r w:rsidRPr="00394907">
        <w:rPr>
          <w:rFonts w:cs="Calibri"/>
          <w:spacing w:val="-6"/>
          <w:sz w:val="24"/>
          <w:szCs w:val="24"/>
        </w:rPr>
        <w:t>., 2024).</w:t>
      </w:r>
    </w:p>
    <w:p w:rsidR="008B4D7C" w:rsidRDefault="00D829E8">
      <w:pPr>
        <w:autoSpaceDE w:val="0"/>
        <w:autoSpaceDN w:val="0"/>
        <w:adjustRightInd w:val="0"/>
        <w:spacing w:after="120"/>
        <w:ind w:right="50"/>
        <w:jc w:val="both"/>
        <w:rPr>
          <w:rFonts w:cs="Calibri"/>
          <w:sz w:val="24"/>
          <w:szCs w:val="24"/>
        </w:rPr>
      </w:pPr>
      <w:r>
        <w:rPr>
          <w:rFonts w:cs="Calibri"/>
          <w:sz w:val="24"/>
          <w:szCs w:val="24"/>
        </w:rPr>
        <w:t xml:space="preserve">The management of </w:t>
      </w:r>
      <w:proofErr w:type="spellStart"/>
      <w:r>
        <w:rPr>
          <w:rFonts w:cs="Calibri"/>
          <w:sz w:val="24"/>
          <w:szCs w:val="24"/>
        </w:rPr>
        <w:t>interinstitutional</w:t>
      </w:r>
      <w:proofErr w:type="spellEnd"/>
      <w:r>
        <w:rPr>
          <w:rFonts w:cs="Calibri"/>
          <w:sz w:val="24"/>
          <w:szCs w:val="24"/>
        </w:rPr>
        <w:t xml:space="preserve"> agreements, its approaches and paradigms can foster the transformation of university institutions to produce new, relevant and high-quality knowledge, with theoretical and practical references, both global and contextua</w:t>
      </w:r>
      <w:r>
        <w:rPr>
          <w:rFonts w:cs="Calibri"/>
          <w:sz w:val="24"/>
          <w:szCs w:val="24"/>
        </w:rPr>
        <w:t xml:space="preserve">l. It is necessary to incorporate work with </w:t>
      </w:r>
      <w:proofErr w:type="spellStart"/>
      <w:r>
        <w:rPr>
          <w:rFonts w:cs="Calibri"/>
          <w:sz w:val="24"/>
          <w:szCs w:val="24"/>
        </w:rPr>
        <w:t>interinstitutional</w:t>
      </w:r>
      <w:proofErr w:type="spellEnd"/>
      <w:r>
        <w:rPr>
          <w:rFonts w:cs="Calibri"/>
          <w:sz w:val="24"/>
          <w:szCs w:val="24"/>
        </w:rPr>
        <w:t xml:space="preserve"> agreements into university dynamics, based on collaboration and cooperation influenced by the potential of Artificial Intelligence, with attention to sustainability, innovation and entrepreneur</w:t>
      </w:r>
      <w:r>
        <w:rPr>
          <w:rFonts w:cs="Calibri"/>
          <w:sz w:val="24"/>
          <w:szCs w:val="24"/>
        </w:rPr>
        <w:t xml:space="preserve">ship, so that it has an impact on preparing future professionals to face the challenges of the future with a comprehensive vision committed to social transformation (Aguilar, 2013; Abreu </w:t>
      </w:r>
      <w:r>
        <w:rPr>
          <w:rFonts w:cs="Calibri"/>
          <w:i/>
          <w:iCs/>
          <w:sz w:val="24"/>
          <w:szCs w:val="24"/>
        </w:rPr>
        <w:t>et al</w:t>
      </w:r>
      <w:r>
        <w:rPr>
          <w:rFonts w:cs="Calibri"/>
          <w:sz w:val="24"/>
          <w:szCs w:val="24"/>
        </w:rPr>
        <w:t xml:space="preserve">., 2019; </w:t>
      </w:r>
      <w:proofErr w:type="spellStart"/>
      <w:r>
        <w:rPr>
          <w:rFonts w:cs="Calibri"/>
          <w:sz w:val="24"/>
          <w:szCs w:val="24"/>
        </w:rPr>
        <w:t>Algañaraz</w:t>
      </w:r>
      <w:proofErr w:type="spellEnd"/>
      <w:r>
        <w:rPr>
          <w:rFonts w:cs="Calibri"/>
          <w:sz w:val="24"/>
          <w:szCs w:val="24"/>
        </w:rPr>
        <w:t xml:space="preserve"> </w:t>
      </w:r>
      <w:r>
        <w:rPr>
          <w:rFonts w:cs="Calibri"/>
          <w:i/>
          <w:iCs/>
          <w:sz w:val="24"/>
          <w:szCs w:val="24"/>
        </w:rPr>
        <w:t>et al</w:t>
      </w:r>
      <w:r>
        <w:rPr>
          <w:rFonts w:cs="Calibri"/>
          <w:sz w:val="24"/>
          <w:szCs w:val="24"/>
        </w:rPr>
        <w:t>., 2023).</w:t>
      </w:r>
    </w:p>
    <w:p w:rsidR="008B4D7C" w:rsidRDefault="00D829E8">
      <w:pPr>
        <w:autoSpaceDE w:val="0"/>
        <w:autoSpaceDN w:val="0"/>
        <w:adjustRightInd w:val="0"/>
        <w:spacing w:after="120"/>
        <w:ind w:right="50"/>
        <w:jc w:val="both"/>
        <w:rPr>
          <w:rFonts w:cs="Calibri"/>
          <w:sz w:val="24"/>
          <w:szCs w:val="24"/>
        </w:rPr>
      </w:pPr>
      <w:r>
        <w:rPr>
          <w:rFonts w:cs="Calibri"/>
          <w:sz w:val="24"/>
          <w:szCs w:val="24"/>
        </w:rPr>
        <w:t xml:space="preserve">The management of </w:t>
      </w:r>
      <w:proofErr w:type="spellStart"/>
      <w:r>
        <w:rPr>
          <w:rFonts w:cs="Calibri"/>
          <w:sz w:val="24"/>
          <w:szCs w:val="24"/>
        </w:rPr>
        <w:t>interinstitu</w:t>
      </w:r>
      <w:r>
        <w:rPr>
          <w:rFonts w:cs="Calibri"/>
          <w:sz w:val="24"/>
          <w:szCs w:val="24"/>
        </w:rPr>
        <w:t>tional</w:t>
      </w:r>
      <w:proofErr w:type="spellEnd"/>
      <w:r>
        <w:rPr>
          <w:rFonts w:cs="Calibri"/>
          <w:sz w:val="24"/>
          <w:szCs w:val="24"/>
        </w:rPr>
        <w:t xml:space="preserve"> agreements in the contemporary university context goes beyond the instrumental view of a mere administrative or legal procedure. It emerges as a strategic, complex and dialectical process that directly affects the capacity of the higher education in</w:t>
      </w:r>
      <w:r>
        <w:rPr>
          <w:rFonts w:cs="Calibri"/>
          <w:sz w:val="24"/>
          <w:szCs w:val="24"/>
        </w:rPr>
        <w:t xml:space="preserve">stitution (HEI) to fulfill its social mission, adapt to volatile environments and, fundamentally, to guarantee and enhance educational quality. </w:t>
      </w:r>
    </w:p>
    <w:p w:rsidR="008B4D7C" w:rsidRDefault="00D829E8">
      <w:pPr>
        <w:widowControl/>
        <w:autoSpaceDE w:val="0"/>
        <w:autoSpaceDN w:val="0"/>
        <w:adjustRightInd w:val="0"/>
        <w:spacing w:after="240"/>
        <w:ind w:right="51"/>
        <w:jc w:val="both"/>
        <w:rPr>
          <w:rFonts w:eastAsia="Arial" w:cs="Calibri"/>
          <w:bCs/>
          <w:sz w:val="24"/>
          <w:szCs w:val="24"/>
        </w:rPr>
      </w:pPr>
      <w:r>
        <w:rPr>
          <w:rFonts w:cs="Calibri"/>
          <w:sz w:val="24"/>
          <w:szCs w:val="24"/>
        </w:rPr>
        <w:t>Understanding its epistemic nature requires a multidisciplinary approach that integrates contributions from sys</w:t>
      </w:r>
      <w:r>
        <w:rPr>
          <w:rFonts w:cs="Calibri"/>
          <w:sz w:val="24"/>
          <w:szCs w:val="24"/>
        </w:rPr>
        <w:t>tems theory, strategic management, the sociology of organizations and cultural-historical psychology, among other disciplines. In this sense, the objective of this article is to demonstrate the contribution of intelligent assessment, mediated by artificial</w:t>
      </w:r>
      <w:r>
        <w:rPr>
          <w:rFonts w:cs="Calibri"/>
          <w:sz w:val="24"/>
          <w:szCs w:val="24"/>
        </w:rPr>
        <w:t xml:space="preserve"> intelligence and the cultural-historical approach, to the management of </w:t>
      </w:r>
      <w:proofErr w:type="spellStart"/>
      <w:r>
        <w:rPr>
          <w:rFonts w:cs="Calibri"/>
          <w:sz w:val="24"/>
          <w:szCs w:val="24"/>
        </w:rPr>
        <w:t>interinstitutional</w:t>
      </w:r>
      <w:proofErr w:type="spellEnd"/>
      <w:r>
        <w:rPr>
          <w:rFonts w:cs="Calibri"/>
          <w:sz w:val="24"/>
          <w:szCs w:val="24"/>
        </w:rPr>
        <w:t xml:space="preserve"> agreements and thereby to the improvement of university educational quality.</w:t>
      </w:r>
    </w:p>
    <w:p w:rsidR="008B4D7C" w:rsidRDefault="00D829E8">
      <w:pPr>
        <w:autoSpaceDE w:val="0"/>
        <w:autoSpaceDN w:val="0"/>
        <w:adjustRightInd w:val="0"/>
        <w:spacing w:after="120"/>
        <w:ind w:right="50"/>
        <w:jc w:val="both"/>
        <w:rPr>
          <w:rFonts w:cs="Calibri"/>
          <w:b/>
          <w:sz w:val="24"/>
          <w:szCs w:val="24"/>
        </w:rPr>
      </w:pPr>
      <w:r>
        <w:rPr>
          <w:rFonts w:eastAsia="Arial" w:cs="Calibri"/>
          <w:b/>
          <w:bCs/>
          <w:sz w:val="24"/>
          <w:szCs w:val="24"/>
        </w:rPr>
        <w:t>Methods</w:t>
      </w:r>
    </w:p>
    <w:p w:rsidR="008B4D7C" w:rsidRDefault="00D829E8">
      <w:pPr>
        <w:spacing w:after="120"/>
        <w:jc w:val="both"/>
        <w:rPr>
          <w:rFonts w:cs="Calibri"/>
          <w:sz w:val="24"/>
          <w:szCs w:val="24"/>
        </w:rPr>
      </w:pPr>
      <w:r>
        <w:rPr>
          <w:rFonts w:cs="Calibri"/>
          <w:sz w:val="24"/>
          <w:szCs w:val="24"/>
        </w:rPr>
        <w:t xml:space="preserve">The research was developed with a mixed approach, descriptive-propositional in </w:t>
      </w:r>
      <w:r>
        <w:rPr>
          <w:rFonts w:cs="Calibri"/>
          <w:sz w:val="24"/>
          <w:szCs w:val="24"/>
        </w:rPr>
        <w:t xml:space="preserve">nature and predominantly qualitative, with the intention of systematizing the theoretical and methodological </w:t>
      </w:r>
      <w:r>
        <w:rPr>
          <w:rFonts w:cs="Calibri"/>
          <w:sz w:val="24"/>
          <w:szCs w:val="24"/>
        </w:rPr>
        <w:lastRenderedPageBreak/>
        <w:t xml:space="preserve">foundations of a smart diagnosis proposal for the management of </w:t>
      </w:r>
      <w:proofErr w:type="spellStart"/>
      <w:r>
        <w:rPr>
          <w:rFonts w:cs="Calibri"/>
          <w:sz w:val="24"/>
          <w:szCs w:val="24"/>
        </w:rPr>
        <w:t>interinstitutional</w:t>
      </w:r>
      <w:proofErr w:type="spellEnd"/>
      <w:r>
        <w:rPr>
          <w:rFonts w:cs="Calibri"/>
          <w:sz w:val="24"/>
          <w:szCs w:val="24"/>
        </w:rPr>
        <w:t xml:space="preserve"> agreements in the university context, aimed at contributing to e</w:t>
      </w:r>
      <w:r>
        <w:rPr>
          <w:rFonts w:cs="Calibri"/>
          <w:sz w:val="24"/>
          <w:szCs w:val="24"/>
        </w:rPr>
        <w:t>ducational quality.</w:t>
      </w:r>
    </w:p>
    <w:p w:rsidR="008B4D7C" w:rsidRDefault="00D829E8">
      <w:pPr>
        <w:spacing w:after="120"/>
        <w:jc w:val="both"/>
        <w:rPr>
          <w:rFonts w:cs="Calibri"/>
          <w:sz w:val="24"/>
          <w:szCs w:val="24"/>
        </w:rPr>
      </w:pPr>
      <w:r>
        <w:rPr>
          <w:rFonts w:cs="Calibri"/>
          <w:sz w:val="24"/>
          <w:szCs w:val="24"/>
        </w:rPr>
        <w:t>Theoretical methods were used to build the conceptual and epistemological scaffolding of the proposal, such as the analytic-synthetic and inductive-deductive methods and theoretical modeling. In addition, the literature review method wa</w:t>
      </w:r>
      <w:r>
        <w:rPr>
          <w:rFonts w:cs="Calibri"/>
          <w:sz w:val="24"/>
          <w:szCs w:val="24"/>
        </w:rPr>
        <w:t xml:space="preserve">s used to organize, refine and triangulate information from different documentary sources on agreement management, </w:t>
      </w:r>
      <w:proofErr w:type="spellStart"/>
      <w:r>
        <w:rPr>
          <w:rFonts w:cs="Calibri"/>
          <w:sz w:val="24"/>
          <w:szCs w:val="24"/>
        </w:rPr>
        <w:t>interinstitutional</w:t>
      </w:r>
      <w:proofErr w:type="spellEnd"/>
      <w:r>
        <w:rPr>
          <w:rFonts w:cs="Calibri"/>
          <w:sz w:val="24"/>
          <w:szCs w:val="24"/>
        </w:rPr>
        <w:t xml:space="preserve"> cooperation, artificial intelligence applied to education and university quality assurance.</w:t>
      </w:r>
    </w:p>
    <w:p w:rsidR="008B4D7C" w:rsidRDefault="00D829E8">
      <w:pPr>
        <w:spacing w:after="120"/>
        <w:jc w:val="both"/>
        <w:rPr>
          <w:rFonts w:cs="Calibri"/>
          <w:sz w:val="24"/>
          <w:szCs w:val="24"/>
        </w:rPr>
      </w:pPr>
      <w:r>
        <w:rPr>
          <w:rFonts w:cs="Calibri"/>
          <w:sz w:val="24"/>
          <w:szCs w:val="24"/>
        </w:rPr>
        <w:t>Journals from Scopus, Web of S</w:t>
      </w:r>
      <w:r>
        <w:rPr>
          <w:rFonts w:cs="Calibri"/>
          <w:sz w:val="24"/>
          <w:szCs w:val="24"/>
        </w:rPr>
        <w:t xml:space="preserve">cience, </w:t>
      </w:r>
      <w:proofErr w:type="spellStart"/>
      <w:r>
        <w:rPr>
          <w:rFonts w:cs="Calibri"/>
          <w:sz w:val="24"/>
          <w:szCs w:val="24"/>
        </w:rPr>
        <w:t>SciELO</w:t>
      </w:r>
      <w:proofErr w:type="spellEnd"/>
      <w:r>
        <w:rPr>
          <w:rFonts w:cs="Calibri"/>
          <w:sz w:val="24"/>
          <w:szCs w:val="24"/>
        </w:rPr>
        <w:t xml:space="preserve">, </w:t>
      </w:r>
      <w:proofErr w:type="spellStart"/>
      <w:r>
        <w:rPr>
          <w:rFonts w:cs="Calibri"/>
          <w:sz w:val="24"/>
          <w:szCs w:val="24"/>
        </w:rPr>
        <w:t>Redalyc</w:t>
      </w:r>
      <w:proofErr w:type="spellEnd"/>
      <w:r>
        <w:rPr>
          <w:rFonts w:cs="Calibri"/>
          <w:sz w:val="24"/>
          <w:szCs w:val="24"/>
        </w:rPr>
        <w:t xml:space="preserve">, </w:t>
      </w:r>
      <w:proofErr w:type="spellStart"/>
      <w:r>
        <w:rPr>
          <w:rFonts w:cs="Calibri"/>
          <w:sz w:val="24"/>
          <w:szCs w:val="24"/>
        </w:rPr>
        <w:t>Dialnet</w:t>
      </w:r>
      <w:proofErr w:type="spellEnd"/>
      <w:r>
        <w:rPr>
          <w:rFonts w:cs="Calibri"/>
          <w:sz w:val="24"/>
          <w:szCs w:val="24"/>
        </w:rPr>
        <w:t xml:space="preserve"> and DOAJ were consulted, as well as institutional repositories of Latin American, European and North American universities related to the social sciences, education and university management. Additionally, specialized sourc</w:t>
      </w:r>
      <w:r>
        <w:rPr>
          <w:rFonts w:cs="Calibri"/>
          <w:sz w:val="24"/>
          <w:szCs w:val="24"/>
        </w:rPr>
        <w:t xml:space="preserve">es on Artificial Intelligence and education, such as IEEE </w:t>
      </w:r>
      <w:proofErr w:type="spellStart"/>
      <w:r>
        <w:rPr>
          <w:rFonts w:cs="Calibri"/>
          <w:sz w:val="24"/>
          <w:szCs w:val="24"/>
        </w:rPr>
        <w:t>Xplore</w:t>
      </w:r>
      <w:proofErr w:type="spellEnd"/>
      <w:r>
        <w:rPr>
          <w:rFonts w:cs="Calibri"/>
          <w:sz w:val="24"/>
          <w:szCs w:val="24"/>
        </w:rPr>
        <w:t xml:space="preserve"> and the ACM Digital Library, were consulted to retrieve literature on applications of machine learning, educational data mining and decision support systems.</w:t>
      </w:r>
    </w:p>
    <w:p w:rsidR="008B4D7C" w:rsidRDefault="00D829E8">
      <w:pPr>
        <w:spacing w:after="120"/>
        <w:jc w:val="both"/>
        <w:rPr>
          <w:rFonts w:cs="Calibri"/>
          <w:sz w:val="24"/>
          <w:szCs w:val="24"/>
        </w:rPr>
      </w:pPr>
      <w:r>
        <w:rPr>
          <w:rFonts w:cs="Calibri"/>
          <w:sz w:val="24"/>
          <w:szCs w:val="24"/>
        </w:rPr>
        <w:t>Combinations of the following key</w:t>
      </w:r>
      <w:r>
        <w:rPr>
          <w:rFonts w:cs="Calibri"/>
          <w:sz w:val="24"/>
          <w:szCs w:val="24"/>
        </w:rPr>
        <w:t xml:space="preserve">words, in Spanish and English, were used for the search strategy: management of </w:t>
      </w:r>
      <w:proofErr w:type="spellStart"/>
      <w:r>
        <w:rPr>
          <w:rFonts w:cs="Calibri"/>
          <w:sz w:val="24"/>
          <w:szCs w:val="24"/>
        </w:rPr>
        <w:t>interinstitutional</w:t>
      </w:r>
      <w:proofErr w:type="spellEnd"/>
      <w:r>
        <w:rPr>
          <w:rFonts w:cs="Calibri"/>
          <w:sz w:val="24"/>
          <w:szCs w:val="24"/>
        </w:rPr>
        <w:t xml:space="preserve"> agreements, educational diagnosis, university educational quality, artificial intelligence in education, university cooperation, strategic alliances, systems</w:t>
      </w:r>
      <w:r>
        <w:rPr>
          <w:rFonts w:cs="Calibri"/>
          <w:sz w:val="24"/>
          <w:szCs w:val="24"/>
        </w:rPr>
        <w:t xml:space="preserve"> theory, cultural-historical approach, smart diagnosis, university social responsibility, Sustainable Development Goals. Boolean operators (AND, OR, NOT) were used to refine the results, along with time-range filters (2000–2025), prioritizing the last ten </w:t>
      </w:r>
      <w:r>
        <w:rPr>
          <w:rFonts w:cs="Calibri"/>
          <w:sz w:val="24"/>
          <w:szCs w:val="24"/>
        </w:rPr>
        <w:t>years.</w:t>
      </w:r>
    </w:p>
    <w:p w:rsidR="008B4D7C" w:rsidRDefault="00D829E8">
      <w:pPr>
        <w:autoSpaceDE w:val="0"/>
        <w:autoSpaceDN w:val="0"/>
        <w:adjustRightInd w:val="0"/>
        <w:spacing w:after="240"/>
        <w:ind w:right="51"/>
        <w:jc w:val="both"/>
        <w:rPr>
          <w:rFonts w:cs="Calibri"/>
          <w:sz w:val="24"/>
          <w:szCs w:val="24"/>
        </w:rPr>
      </w:pPr>
      <w:r>
        <w:rPr>
          <w:rFonts w:cs="Calibri"/>
          <w:sz w:val="24"/>
          <w:szCs w:val="24"/>
        </w:rPr>
        <w:t xml:space="preserve">The documentary review process was organized into three stages: initial exploration, in-depth analysis, and systematization and integration for the construction of a coherent theoretical framework that integrates the contributions of the different </w:t>
      </w:r>
      <w:r>
        <w:rPr>
          <w:rFonts w:cs="Calibri"/>
          <w:sz w:val="24"/>
          <w:szCs w:val="24"/>
        </w:rPr>
        <w:t>disciplines and approaches and serves as a basis for developing the theoretical proposal for smart diagnosis.</w:t>
      </w:r>
    </w:p>
    <w:p w:rsidR="008B4D7C" w:rsidRDefault="00D829E8">
      <w:pPr>
        <w:spacing w:after="120"/>
        <w:ind w:right="50"/>
        <w:jc w:val="both"/>
        <w:rPr>
          <w:rFonts w:cs="Calibri"/>
          <w:b/>
          <w:sz w:val="24"/>
          <w:szCs w:val="24"/>
        </w:rPr>
      </w:pPr>
      <w:r>
        <w:rPr>
          <w:rFonts w:eastAsia="Arial" w:cs="Calibri"/>
          <w:b/>
          <w:bCs/>
          <w:sz w:val="24"/>
          <w:szCs w:val="24"/>
        </w:rPr>
        <w:t>Results and discussion</w:t>
      </w:r>
    </w:p>
    <w:p w:rsidR="008B4D7C" w:rsidRDefault="00D829E8">
      <w:pPr>
        <w:spacing w:after="120"/>
        <w:jc w:val="both"/>
        <w:rPr>
          <w:rFonts w:cs="Calibri"/>
          <w:sz w:val="24"/>
          <w:szCs w:val="24"/>
        </w:rPr>
      </w:pPr>
      <w:r>
        <w:rPr>
          <w:rFonts w:cs="Calibri"/>
          <w:sz w:val="24"/>
          <w:szCs w:val="24"/>
        </w:rPr>
        <w:t>The specialized literature has addressed agreement management from various angles: its impact on internationalization (</w:t>
      </w:r>
      <w:proofErr w:type="spellStart"/>
      <w:r>
        <w:rPr>
          <w:rFonts w:cs="Calibri"/>
          <w:sz w:val="24"/>
          <w:szCs w:val="24"/>
        </w:rPr>
        <w:t>Mazz</w:t>
      </w:r>
      <w:r>
        <w:rPr>
          <w:rFonts w:cs="Calibri"/>
          <w:sz w:val="24"/>
          <w:szCs w:val="24"/>
        </w:rPr>
        <w:t>eo</w:t>
      </w:r>
      <w:proofErr w:type="spellEnd"/>
      <w:r>
        <w:rPr>
          <w:rFonts w:cs="Calibri"/>
          <w:sz w:val="24"/>
          <w:szCs w:val="24"/>
        </w:rPr>
        <w:t xml:space="preserve"> &amp; </w:t>
      </w:r>
      <w:proofErr w:type="spellStart"/>
      <w:r>
        <w:rPr>
          <w:rFonts w:cs="Calibri"/>
          <w:sz w:val="24"/>
          <w:szCs w:val="24"/>
        </w:rPr>
        <w:t>Baudo</w:t>
      </w:r>
      <w:proofErr w:type="spellEnd"/>
      <w:r>
        <w:rPr>
          <w:rFonts w:cs="Calibri"/>
          <w:sz w:val="24"/>
          <w:szCs w:val="24"/>
        </w:rPr>
        <w:t xml:space="preserve">, 2021; </w:t>
      </w:r>
      <w:proofErr w:type="spellStart"/>
      <w:r>
        <w:rPr>
          <w:rFonts w:cs="Calibri"/>
          <w:sz w:val="24"/>
          <w:szCs w:val="24"/>
        </w:rPr>
        <w:t>Montesinos</w:t>
      </w:r>
      <w:proofErr w:type="spellEnd"/>
      <w:r>
        <w:rPr>
          <w:rFonts w:cs="Calibri"/>
          <w:sz w:val="24"/>
          <w:szCs w:val="24"/>
        </w:rPr>
        <w:t>, 2023), university-industry linkage (</w:t>
      </w:r>
      <w:proofErr w:type="spellStart"/>
      <w:r>
        <w:rPr>
          <w:rFonts w:cs="Calibri"/>
          <w:sz w:val="24"/>
          <w:szCs w:val="24"/>
        </w:rPr>
        <w:t>Broström</w:t>
      </w:r>
      <w:proofErr w:type="spellEnd"/>
      <w:r>
        <w:rPr>
          <w:rFonts w:cs="Calibri"/>
          <w:sz w:val="24"/>
          <w:szCs w:val="24"/>
        </w:rPr>
        <w:t xml:space="preserve"> </w:t>
      </w:r>
      <w:r>
        <w:rPr>
          <w:rFonts w:cs="Calibri"/>
          <w:i/>
          <w:iCs/>
          <w:sz w:val="24"/>
          <w:szCs w:val="24"/>
        </w:rPr>
        <w:t>et al</w:t>
      </w:r>
      <w:r>
        <w:rPr>
          <w:rFonts w:cs="Calibri"/>
          <w:sz w:val="24"/>
          <w:szCs w:val="24"/>
        </w:rPr>
        <w:t>., 2019), administrative challenges (</w:t>
      </w:r>
      <w:proofErr w:type="spellStart"/>
      <w:r>
        <w:rPr>
          <w:rFonts w:cs="Calibri"/>
          <w:sz w:val="24"/>
          <w:szCs w:val="24"/>
        </w:rPr>
        <w:t>Mückenberger</w:t>
      </w:r>
      <w:proofErr w:type="spellEnd"/>
      <w:r>
        <w:rPr>
          <w:rFonts w:cs="Calibri"/>
          <w:sz w:val="24"/>
          <w:szCs w:val="24"/>
        </w:rPr>
        <w:t xml:space="preserve"> </w:t>
      </w:r>
      <w:r>
        <w:rPr>
          <w:rFonts w:cs="Calibri"/>
          <w:i/>
          <w:iCs/>
          <w:sz w:val="24"/>
          <w:szCs w:val="24"/>
        </w:rPr>
        <w:t>et al</w:t>
      </w:r>
      <w:r>
        <w:rPr>
          <w:rFonts w:cs="Calibri"/>
          <w:sz w:val="24"/>
          <w:szCs w:val="24"/>
        </w:rPr>
        <w:t xml:space="preserve">., 2013), the construction of monitoring indicators (Mex </w:t>
      </w:r>
      <w:r>
        <w:rPr>
          <w:rFonts w:cs="Calibri"/>
          <w:i/>
          <w:iCs/>
          <w:sz w:val="24"/>
          <w:szCs w:val="24"/>
        </w:rPr>
        <w:t>et al</w:t>
      </w:r>
      <w:r>
        <w:rPr>
          <w:rFonts w:cs="Calibri"/>
          <w:sz w:val="24"/>
          <w:szCs w:val="24"/>
        </w:rPr>
        <w:t>., 2023) and its influence on academic and scientific coope</w:t>
      </w:r>
      <w:r>
        <w:rPr>
          <w:rFonts w:cs="Calibri"/>
          <w:sz w:val="24"/>
          <w:szCs w:val="24"/>
        </w:rPr>
        <w:t>ration (Castillo-</w:t>
      </w:r>
      <w:proofErr w:type="spellStart"/>
      <w:r>
        <w:rPr>
          <w:rFonts w:cs="Calibri"/>
          <w:sz w:val="24"/>
          <w:szCs w:val="24"/>
        </w:rPr>
        <w:t>Leyton</w:t>
      </w:r>
      <w:proofErr w:type="spellEnd"/>
      <w:r>
        <w:rPr>
          <w:rFonts w:cs="Calibri"/>
          <w:sz w:val="24"/>
          <w:szCs w:val="24"/>
        </w:rPr>
        <w:t xml:space="preserve"> </w:t>
      </w:r>
      <w:r>
        <w:rPr>
          <w:rFonts w:cs="Calibri"/>
          <w:i/>
          <w:iCs/>
          <w:sz w:val="24"/>
          <w:szCs w:val="24"/>
        </w:rPr>
        <w:t>et al</w:t>
      </w:r>
      <w:r>
        <w:rPr>
          <w:rFonts w:cs="Calibri"/>
          <w:sz w:val="24"/>
          <w:szCs w:val="24"/>
        </w:rPr>
        <w:t xml:space="preserve">., 2021; Pratt </w:t>
      </w:r>
      <w:r>
        <w:rPr>
          <w:rFonts w:cs="Calibri"/>
          <w:i/>
          <w:iCs/>
          <w:sz w:val="24"/>
          <w:szCs w:val="24"/>
        </w:rPr>
        <w:t>et al</w:t>
      </w:r>
      <w:r>
        <w:rPr>
          <w:rFonts w:cs="Calibri"/>
          <w:sz w:val="24"/>
          <w:szCs w:val="24"/>
        </w:rPr>
        <w:t xml:space="preserve">., 2011). </w:t>
      </w:r>
    </w:p>
    <w:p w:rsidR="008B4D7C" w:rsidRDefault="00D829E8">
      <w:pPr>
        <w:spacing w:after="120"/>
        <w:jc w:val="both"/>
        <w:rPr>
          <w:rFonts w:cs="Calibri"/>
          <w:sz w:val="24"/>
          <w:szCs w:val="24"/>
        </w:rPr>
      </w:pPr>
      <w:r>
        <w:rPr>
          <w:rFonts w:cs="Calibri"/>
          <w:sz w:val="24"/>
          <w:szCs w:val="24"/>
        </w:rPr>
        <w:t>However, a robust epistemological characterization requires overcoming these fragmented approaches and conceiving the process as an open, dynamic and complex system, as proposed by general systems</w:t>
      </w:r>
      <w:r>
        <w:rPr>
          <w:rFonts w:cs="Calibri"/>
          <w:sz w:val="24"/>
          <w:szCs w:val="24"/>
        </w:rPr>
        <w:t xml:space="preserve"> theory (</w:t>
      </w:r>
      <w:proofErr w:type="spellStart"/>
      <w:r>
        <w:rPr>
          <w:rFonts w:cs="Calibri"/>
          <w:sz w:val="24"/>
          <w:szCs w:val="24"/>
        </w:rPr>
        <w:t>Bertalanffy</w:t>
      </w:r>
      <w:proofErr w:type="spellEnd"/>
      <w:r>
        <w:rPr>
          <w:rFonts w:cs="Calibri"/>
          <w:sz w:val="24"/>
          <w:szCs w:val="24"/>
        </w:rPr>
        <w:t>, 1976).</w:t>
      </w:r>
    </w:p>
    <w:p w:rsidR="008B4D7C" w:rsidRDefault="00D829E8">
      <w:pPr>
        <w:spacing w:after="120"/>
        <w:jc w:val="both"/>
        <w:rPr>
          <w:rFonts w:cs="Calibri"/>
          <w:sz w:val="24"/>
          <w:szCs w:val="24"/>
        </w:rPr>
      </w:pPr>
      <w:r>
        <w:rPr>
          <w:rFonts w:cs="Calibri"/>
          <w:sz w:val="24"/>
          <w:szCs w:val="24"/>
        </w:rPr>
        <w:t xml:space="preserve">From this systemic perspective, the management of </w:t>
      </w:r>
      <w:proofErr w:type="spellStart"/>
      <w:r>
        <w:rPr>
          <w:rFonts w:cs="Calibri"/>
          <w:sz w:val="24"/>
          <w:szCs w:val="24"/>
        </w:rPr>
        <w:t>interinstitutional</w:t>
      </w:r>
      <w:proofErr w:type="spellEnd"/>
      <w:r>
        <w:rPr>
          <w:rFonts w:cs="Calibri"/>
          <w:sz w:val="24"/>
          <w:szCs w:val="24"/>
        </w:rPr>
        <w:t xml:space="preserve"> agreements cannot be understood as a sum of isolated parts, but as an organized totality whose emergent properties, such as the capacity to generate curricula</w:t>
      </w:r>
      <w:r>
        <w:rPr>
          <w:rFonts w:cs="Calibri"/>
          <w:sz w:val="24"/>
          <w:szCs w:val="24"/>
        </w:rPr>
        <w:t>r innovation, sustained academic mobility or high-</w:t>
      </w:r>
      <w:r>
        <w:rPr>
          <w:rFonts w:cs="Calibri"/>
          <w:sz w:val="24"/>
          <w:szCs w:val="24"/>
        </w:rPr>
        <w:lastRenderedPageBreak/>
        <w:t xml:space="preserve">impact collaborative research, are qualitatively superior to the mere aggregation of administrative activities. </w:t>
      </w:r>
    </w:p>
    <w:p w:rsidR="008B4D7C" w:rsidRDefault="00D829E8">
      <w:pPr>
        <w:spacing w:after="120"/>
        <w:jc w:val="both"/>
        <w:rPr>
          <w:rFonts w:cs="Calibri"/>
          <w:sz w:val="24"/>
          <w:szCs w:val="24"/>
        </w:rPr>
      </w:pPr>
      <w:r>
        <w:rPr>
          <w:rFonts w:cs="Calibri"/>
          <w:sz w:val="24"/>
          <w:szCs w:val="24"/>
        </w:rPr>
        <w:t>This holistic view makes it possible to identify relationships of interdependence among the d</w:t>
      </w:r>
      <w:r>
        <w:rPr>
          <w:rFonts w:cs="Calibri"/>
          <w:sz w:val="24"/>
          <w:szCs w:val="24"/>
        </w:rPr>
        <w:t xml:space="preserve">ifferent subsystems that make it up, as well as the flows of information, resources and decisions that circulate through them. Consistent with the above, the management of </w:t>
      </w:r>
      <w:proofErr w:type="spellStart"/>
      <w:r>
        <w:rPr>
          <w:rFonts w:cs="Calibri"/>
          <w:sz w:val="24"/>
          <w:szCs w:val="24"/>
        </w:rPr>
        <w:t>interinstitutional</w:t>
      </w:r>
      <w:proofErr w:type="spellEnd"/>
      <w:r>
        <w:rPr>
          <w:rFonts w:cs="Calibri"/>
          <w:sz w:val="24"/>
          <w:szCs w:val="24"/>
        </w:rPr>
        <w:t xml:space="preserve"> agreements in the university context is understood as a systemic </w:t>
      </w:r>
      <w:r>
        <w:rPr>
          <w:rFonts w:cs="Calibri"/>
          <w:sz w:val="24"/>
          <w:szCs w:val="24"/>
        </w:rPr>
        <w:t xml:space="preserve">and strategic process that integrates structural (organizational, regulatory and stakeholder), functional (diagnosis, planning, negotiation, implementation and evaluation), relational (intra- and </w:t>
      </w:r>
      <w:proofErr w:type="spellStart"/>
      <w:r>
        <w:rPr>
          <w:rFonts w:cs="Calibri"/>
          <w:sz w:val="24"/>
          <w:szCs w:val="24"/>
        </w:rPr>
        <w:t>interinstitutional</w:t>
      </w:r>
      <w:proofErr w:type="spellEnd"/>
      <w:r>
        <w:rPr>
          <w:rFonts w:cs="Calibri"/>
          <w:sz w:val="24"/>
          <w:szCs w:val="24"/>
        </w:rPr>
        <w:t xml:space="preserve"> links), temporal (life cycle of the agree</w:t>
      </w:r>
      <w:r>
        <w:rPr>
          <w:rFonts w:cs="Calibri"/>
          <w:sz w:val="24"/>
          <w:szCs w:val="24"/>
        </w:rPr>
        <w:t xml:space="preserve">ment, from inception to closure or renewal) and technological (analog and digital support tools) dimensions. </w:t>
      </w:r>
    </w:p>
    <w:p w:rsidR="008B4D7C" w:rsidRDefault="00D829E8">
      <w:pPr>
        <w:spacing w:after="120"/>
        <w:jc w:val="both"/>
        <w:rPr>
          <w:rFonts w:cs="Calibri"/>
          <w:sz w:val="24"/>
          <w:szCs w:val="24"/>
        </w:rPr>
      </w:pPr>
      <w:r>
        <w:rPr>
          <w:rFonts w:cs="Calibri"/>
          <w:sz w:val="24"/>
          <w:szCs w:val="24"/>
        </w:rPr>
        <w:t>Its purpose is to formalize, execute and monitor alliances with external actors, other universities, companies, government bodies and civil societ</w:t>
      </w:r>
      <w:r>
        <w:rPr>
          <w:rFonts w:cs="Calibri"/>
          <w:sz w:val="24"/>
          <w:szCs w:val="24"/>
        </w:rPr>
        <w:t>y organizations, in order to mobilize knowledge, resources and capacities that strengthen the comprehensive education of students, relevant and socially significant research, purposeful internationalization and the continuous improvement of the academic of</w:t>
      </w:r>
      <w:r>
        <w:rPr>
          <w:rFonts w:cs="Calibri"/>
          <w:sz w:val="24"/>
          <w:szCs w:val="24"/>
        </w:rPr>
        <w:t xml:space="preserve">fering, all within the framework of the Sustainable Development Goals (SDGs), particularly SDG 4 (inclusive, equitable and quality education) (Moreno </w:t>
      </w:r>
      <w:r>
        <w:rPr>
          <w:rFonts w:cs="Calibri"/>
          <w:i/>
          <w:iCs/>
          <w:sz w:val="24"/>
          <w:szCs w:val="24"/>
        </w:rPr>
        <w:t>et al., 2025</w:t>
      </w:r>
      <w:r>
        <w:rPr>
          <w:rFonts w:cs="Calibri"/>
          <w:sz w:val="24"/>
          <w:szCs w:val="24"/>
        </w:rPr>
        <w:t>), and of the new social contract for education proposed by Roque (2025).</w:t>
      </w:r>
    </w:p>
    <w:p w:rsidR="008B4D7C" w:rsidRDefault="00D829E8">
      <w:pPr>
        <w:spacing w:after="120"/>
        <w:jc w:val="both"/>
        <w:rPr>
          <w:rFonts w:cs="Calibri"/>
          <w:sz w:val="24"/>
          <w:szCs w:val="24"/>
        </w:rPr>
      </w:pPr>
      <w:r>
        <w:rPr>
          <w:rFonts w:cs="Calibri"/>
          <w:sz w:val="24"/>
          <w:szCs w:val="24"/>
        </w:rPr>
        <w:t>This definition inte</w:t>
      </w:r>
      <w:r>
        <w:rPr>
          <w:rFonts w:cs="Calibri"/>
          <w:sz w:val="24"/>
          <w:szCs w:val="24"/>
        </w:rPr>
        <w:t xml:space="preserve">grates the contributions of Abreu </w:t>
      </w:r>
      <w:r>
        <w:rPr>
          <w:rFonts w:cs="Calibri"/>
          <w:i/>
          <w:iCs/>
          <w:sz w:val="24"/>
          <w:szCs w:val="24"/>
        </w:rPr>
        <w:t>et al</w:t>
      </w:r>
      <w:r>
        <w:rPr>
          <w:rFonts w:cs="Calibri"/>
          <w:sz w:val="24"/>
          <w:szCs w:val="24"/>
        </w:rPr>
        <w:t xml:space="preserve">. (2019), who link </w:t>
      </w:r>
      <w:proofErr w:type="spellStart"/>
      <w:r>
        <w:rPr>
          <w:rFonts w:cs="Calibri"/>
          <w:sz w:val="24"/>
          <w:szCs w:val="24"/>
        </w:rPr>
        <w:t>interinstitutional</w:t>
      </w:r>
      <w:proofErr w:type="spellEnd"/>
      <w:r>
        <w:rPr>
          <w:rFonts w:cs="Calibri"/>
          <w:sz w:val="24"/>
          <w:szCs w:val="24"/>
        </w:rPr>
        <w:t xml:space="preserve"> relations to the development of university management, and of </w:t>
      </w:r>
      <w:proofErr w:type="spellStart"/>
      <w:r>
        <w:rPr>
          <w:rFonts w:cs="Calibri"/>
          <w:sz w:val="24"/>
          <w:szCs w:val="24"/>
        </w:rPr>
        <w:t>Stensaker</w:t>
      </w:r>
      <w:proofErr w:type="spellEnd"/>
      <w:r>
        <w:rPr>
          <w:rFonts w:cs="Calibri"/>
          <w:sz w:val="24"/>
          <w:szCs w:val="24"/>
        </w:rPr>
        <w:t xml:space="preserve"> (2018), who highlights the role of alliances in enhancing control, capacity and creativity in dynamic envir</w:t>
      </w:r>
      <w:r>
        <w:rPr>
          <w:rFonts w:cs="Calibri"/>
          <w:sz w:val="24"/>
          <w:szCs w:val="24"/>
        </w:rPr>
        <w:t xml:space="preserve">onments. It is also aligned with Stakeholder Theory (Freeman, 1984), in recognizing that the university must manage in a balanced way the interests of multiple groups, government, students, companies and communities, among others, through its agreements. </w:t>
      </w:r>
    </w:p>
    <w:p w:rsidR="008B4D7C" w:rsidRDefault="00D829E8">
      <w:pPr>
        <w:spacing w:after="120"/>
        <w:jc w:val="both"/>
        <w:rPr>
          <w:rFonts w:cs="Calibri"/>
          <w:sz w:val="24"/>
          <w:szCs w:val="24"/>
        </w:rPr>
      </w:pPr>
      <w:r>
        <w:rPr>
          <w:rFonts w:cs="Calibri"/>
          <w:sz w:val="24"/>
          <w:szCs w:val="24"/>
        </w:rPr>
        <w:t>This theory, originally developed for the field of business management, has proven its fruitfulness in the university context by making it possible to identify and prioritize the expectations of the different actors who affect or are affected by institutio</w:t>
      </w:r>
      <w:r>
        <w:rPr>
          <w:rFonts w:cs="Calibri"/>
          <w:sz w:val="24"/>
          <w:szCs w:val="24"/>
        </w:rPr>
        <w:t>nal activity (</w:t>
      </w:r>
      <w:proofErr w:type="spellStart"/>
      <w:r>
        <w:rPr>
          <w:rFonts w:cs="Calibri"/>
          <w:sz w:val="24"/>
          <w:szCs w:val="24"/>
        </w:rPr>
        <w:t>Mainardes</w:t>
      </w:r>
      <w:proofErr w:type="spellEnd"/>
      <w:r>
        <w:rPr>
          <w:rFonts w:cs="Calibri"/>
          <w:sz w:val="24"/>
          <w:szCs w:val="24"/>
        </w:rPr>
        <w:t xml:space="preserve"> </w:t>
      </w:r>
      <w:r>
        <w:rPr>
          <w:rFonts w:cs="Calibri"/>
          <w:i/>
          <w:iCs/>
          <w:sz w:val="24"/>
          <w:szCs w:val="24"/>
        </w:rPr>
        <w:t>et al</w:t>
      </w:r>
      <w:r>
        <w:rPr>
          <w:rFonts w:cs="Calibri"/>
          <w:sz w:val="24"/>
          <w:szCs w:val="24"/>
        </w:rPr>
        <w:t>., 2011).</w:t>
      </w:r>
    </w:p>
    <w:p w:rsidR="008B4D7C" w:rsidRDefault="00D829E8">
      <w:pPr>
        <w:widowControl/>
        <w:spacing w:after="120"/>
        <w:jc w:val="both"/>
        <w:rPr>
          <w:rFonts w:cs="Calibri"/>
          <w:sz w:val="24"/>
          <w:szCs w:val="24"/>
        </w:rPr>
      </w:pPr>
      <w:r>
        <w:rPr>
          <w:rFonts w:cs="Calibri"/>
          <w:sz w:val="24"/>
          <w:szCs w:val="24"/>
        </w:rPr>
        <w:t>From the perspective of educational quality, agreement management takes on particular relevance. It is not simply a matter of increasing the number of agreements signed, a quantitative indicator that often hides low i</w:t>
      </w:r>
      <w:r>
        <w:rPr>
          <w:rFonts w:cs="Calibri"/>
          <w:sz w:val="24"/>
          <w:szCs w:val="24"/>
        </w:rPr>
        <w:t>mplementation or no impact on training processes. Rather, it is a matter of conceiving each agreement as a pedagogical and organizational device that expands learning spaces, resources and opportunities for students and teachers, while strengthening the so</w:t>
      </w:r>
      <w:r>
        <w:rPr>
          <w:rFonts w:cs="Calibri"/>
          <w:sz w:val="24"/>
          <w:szCs w:val="24"/>
        </w:rPr>
        <w:t xml:space="preserve">cial relevance of the academic offering. </w:t>
      </w:r>
    </w:p>
    <w:p w:rsidR="008B4D7C" w:rsidRDefault="00D829E8">
      <w:pPr>
        <w:spacing w:after="120"/>
        <w:jc w:val="both"/>
        <w:rPr>
          <w:rFonts w:cs="Calibri"/>
          <w:sz w:val="24"/>
          <w:szCs w:val="24"/>
        </w:rPr>
      </w:pPr>
      <w:r>
        <w:rPr>
          <w:rFonts w:cs="Calibri"/>
          <w:sz w:val="24"/>
          <w:szCs w:val="24"/>
        </w:rPr>
        <w:t>In this sense, agreement management becomes a strategic lever for the continuous improvement of quality, understood not only as efficiency and compliance with standards, but as social transformation and the compreh</w:t>
      </w:r>
      <w:r>
        <w:rPr>
          <w:rFonts w:cs="Calibri"/>
          <w:sz w:val="24"/>
          <w:szCs w:val="24"/>
        </w:rPr>
        <w:t>ensive education of professionals committed to sustainable development (Harvey &amp; Green, 1993).</w:t>
      </w:r>
    </w:p>
    <w:p w:rsidR="008B4D7C" w:rsidRDefault="00D829E8">
      <w:pPr>
        <w:spacing w:after="120"/>
        <w:jc w:val="both"/>
        <w:rPr>
          <w:rFonts w:cs="Calibri"/>
          <w:sz w:val="24"/>
          <w:szCs w:val="24"/>
        </w:rPr>
      </w:pPr>
      <w:r>
        <w:rPr>
          <w:rFonts w:cs="Calibri"/>
          <w:sz w:val="24"/>
          <w:szCs w:val="24"/>
        </w:rPr>
        <w:lastRenderedPageBreak/>
        <w:t>Within the systemic architecture of agreement management, diagnosis occupies a central and strategic place. Following Arias (1999) and Nieves (2000), educational</w:t>
      </w:r>
      <w:r>
        <w:rPr>
          <w:rFonts w:cs="Calibri"/>
          <w:sz w:val="24"/>
          <w:szCs w:val="24"/>
        </w:rPr>
        <w:t xml:space="preserve"> diagnosis is a process of constructing knowledge about a reality on which one is going to intervene or act, which implies the active participation of the person diagnosing and a gradual, systematic and continuous approach to the complexity of what is bein</w:t>
      </w:r>
      <w:r>
        <w:rPr>
          <w:rFonts w:cs="Calibri"/>
          <w:sz w:val="24"/>
          <w:szCs w:val="24"/>
        </w:rPr>
        <w:t xml:space="preserve">g diagnosed. It is therefore not a static snapshot taken at a specific moment, but a dynamic, unfinished process that is permanently expanded, adjusted and fed back (Enriquez </w:t>
      </w:r>
      <w:r>
        <w:rPr>
          <w:rFonts w:cs="Calibri"/>
          <w:i/>
          <w:iCs/>
          <w:sz w:val="24"/>
          <w:szCs w:val="24"/>
        </w:rPr>
        <w:t>et al</w:t>
      </w:r>
      <w:r>
        <w:rPr>
          <w:rFonts w:cs="Calibri"/>
          <w:sz w:val="24"/>
          <w:szCs w:val="24"/>
        </w:rPr>
        <w:t>, 2024).</w:t>
      </w:r>
    </w:p>
    <w:p w:rsidR="008B4D7C" w:rsidRDefault="00D829E8">
      <w:pPr>
        <w:spacing w:after="120"/>
        <w:jc w:val="both"/>
        <w:rPr>
          <w:rFonts w:cs="Calibri"/>
          <w:sz w:val="24"/>
          <w:szCs w:val="24"/>
        </w:rPr>
      </w:pPr>
      <w:r>
        <w:rPr>
          <w:rFonts w:cs="Calibri"/>
          <w:sz w:val="24"/>
          <w:szCs w:val="24"/>
        </w:rPr>
        <w:t xml:space="preserve">In the specific field of </w:t>
      </w:r>
      <w:proofErr w:type="spellStart"/>
      <w:r>
        <w:rPr>
          <w:rFonts w:cs="Calibri"/>
          <w:sz w:val="24"/>
          <w:szCs w:val="24"/>
        </w:rPr>
        <w:t>interinstitutional</w:t>
      </w:r>
      <w:proofErr w:type="spellEnd"/>
      <w:r>
        <w:rPr>
          <w:rFonts w:cs="Calibri"/>
          <w:sz w:val="24"/>
          <w:szCs w:val="24"/>
        </w:rPr>
        <w:t xml:space="preserve"> agreement management, </w:t>
      </w:r>
      <w:r>
        <w:rPr>
          <w:rFonts w:cs="Calibri"/>
          <w:sz w:val="24"/>
          <w:szCs w:val="24"/>
        </w:rPr>
        <w:t xml:space="preserve">traditional diagnosis has significant limitations. The usual practice, as identified in preliminary studies and in the researcher's experience, is characterized by being unsystematic, reactive (a diagnosis is made when a problem arises, not preventively), </w:t>
      </w:r>
      <w:r>
        <w:rPr>
          <w:rFonts w:cs="Calibri"/>
          <w:sz w:val="24"/>
          <w:szCs w:val="24"/>
        </w:rPr>
        <w:t xml:space="preserve">based predominantly on unstructured data (emails, scattered reports, </w:t>
      </w:r>
      <w:proofErr w:type="spellStart"/>
      <w:r>
        <w:rPr>
          <w:rFonts w:cs="Calibri"/>
          <w:sz w:val="24"/>
          <w:szCs w:val="24"/>
        </w:rPr>
        <w:t>unsystematized</w:t>
      </w:r>
      <w:proofErr w:type="spellEnd"/>
      <w:r>
        <w:rPr>
          <w:rFonts w:cs="Calibri"/>
          <w:sz w:val="24"/>
          <w:szCs w:val="24"/>
        </w:rPr>
        <w:t xml:space="preserve"> meeting minutes) and disconnected from strategic decision-making processes. This situation results in a low predictive capacity: managers cannot anticipate which agreements</w:t>
      </w:r>
      <w:r>
        <w:rPr>
          <w:rFonts w:cs="Calibri"/>
          <w:sz w:val="24"/>
          <w:szCs w:val="24"/>
        </w:rPr>
        <w:t xml:space="preserve"> show warning signs, which have the greatest potential to contribute to educational quality, or what types of alliances should be prioritized in the future.</w:t>
      </w:r>
    </w:p>
    <w:p w:rsidR="008B4D7C" w:rsidRDefault="00D829E8">
      <w:pPr>
        <w:spacing w:after="120"/>
        <w:jc w:val="both"/>
        <w:rPr>
          <w:rFonts w:cs="Calibri"/>
          <w:sz w:val="24"/>
          <w:szCs w:val="24"/>
        </w:rPr>
      </w:pPr>
      <w:r>
        <w:rPr>
          <w:rFonts w:cs="Calibri"/>
          <w:sz w:val="24"/>
          <w:szCs w:val="24"/>
        </w:rPr>
        <w:t>To overcome these shortcomings, it is necessary to move toward smart diagnosis, understood as one t</w:t>
      </w:r>
      <w:r>
        <w:rPr>
          <w:rFonts w:cs="Calibri"/>
          <w:sz w:val="24"/>
          <w:szCs w:val="24"/>
        </w:rPr>
        <w:t xml:space="preserve">hat incorporates advanced data analysis techniques, particularly artificial intelligence (AI), to process large volumes of information, identify hidden patterns, generate predictions and support collegial, evidence-based decision-making. </w:t>
      </w:r>
    </w:p>
    <w:p w:rsidR="008B4D7C" w:rsidRDefault="00D829E8">
      <w:pPr>
        <w:spacing w:after="120"/>
        <w:jc w:val="both"/>
        <w:rPr>
          <w:rFonts w:cs="Calibri"/>
          <w:sz w:val="24"/>
          <w:szCs w:val="24"/>
        </w:rPr>
      </w:pPr>
      <w:r>
        <w:rPr>
          <w:rFonts w:cs="Calibri"/>
          <w:sz w:val="24"/>
          <w:szCs w:val="24"/>
        </w:rPr>
        <w:t xml:space="preserve">This approach is </w:t>
      </w:r>
      <w:r>
        <w:rPr>
          <w:rFonts w:cs="Calibri"/>
          <w:sz w:val="24"/>
          <w:szCs w:val="24"/>
        </w:rPr>
        <w:t xml:space="preserve">inspired by contemporary developments in smart academic diagnosis in the educational field, particularly the work of </w:t>
      </w:r>
      <w:proofErr w:type="spellStart"/>
      <w:r>
        <w:rPr>
          <w:rFonts w:cs="Calibri"/>
          <w:sz w:val="24"/>
          <w:szCs w:val="24"/>
        </w:rPr>
        <w:t>Fernández</w:t>
      </w:r>
      <w:proofErr w:type="spellEnd"/>
      <w:r>
        <w:rPr>
          <w:rFonts w:cs="Calibri"/>
          <w:sz w:val="24"/>
          <w:szCs w:val="24"/>
        </w:rPr>
        <w:t xml:space="preserve"> </w:t>
      </w:r>
      <w:r>
        <w:rPr>
          <w:rFonts w:cs="Calibri"/>
          <w:i/>
          <w:iCs/>
          <w:sz w:val="24"/>
          <w:szCs w:val="24"/>
        </w:rPr>
        <w:t>et al</w:t>
      </w:r>
      <w:r>
        <w:rPr>
          <w:rFonts w:cs="Calibri"/>
          <w:sz w:val="24"/>
          <w:szCs w:val="24"/>
        </w:rPr>
        <w:t>. (2023; 2024), who have designed systems and models for personalized student support using machine learning algorithms, fuz</w:t>
      </w:r>
      <w:r>
        <w:rPr>
          <w:rFonts w:cs="Calibri"/>
          <w:sz w:val="24"/>
          <w:szCs w:val="24"/>
        </w:rPr>
        <w:t>zy logic and educational data mining.</w:t>
      </w:r>
    </w:p>
    <w:p w:rsidR="008B4D7C" w:rsidRDefault="00D829E8">
      <w:pPr>
        <w:spacing w:after="120"/>
        <w:jc w:val="both"/>
        <w:rPr>
          <w:rFonts w:cs="Calibri"/>
          <w:sz w:val="24"/>
          <w:szCs w:val="24"/>
        </w:rPr>
      </w:pPr>
      <w:r>
        <w:rPr>
          <w:rFonts w:cs="Calibri"/>
          <w:sz w:val="24"/>
          <w:szCs w:val="24"/>
        </w:rPr>
        <w:t xml:space="preserve">Transferring these ideas to the field of </w:t>
      </w:r>
      <w:proofErr w:type="spellStart"/>
      <w:r>
        <w:rPr>
          <w:rFonts w:cs="Calibri"/>
          <w:sz w:val="24"/>
          <w:szCs w:val="24"/>
        </w:rPr>
        <w:t>interinstitutional</w:t>
      </w:r>
      <w:proofErr w:type="spellEnd"/>
      <w:r>
        <w:rPr>
          <w:rFonts w:cs="Calibri"/>
          <w:sz w:val="24"/>
          <w:szCs w:val="24"/>
        </w:rPr>
        <w:t xml:space="preserve"> agreements, smart diagnosis in the management of </w:t>
      </w:r>
      <w:proofErr w:type="spellStart"/>
      <w:r>
        <w:rPr>
          <w:rFonts w:cs="Calibri"/>
          <w:sz w:val="24"/>
          <w:szCs w:val="24"/>
        </w:rPr>
        <w:t>interinstitutional</w:t>
      </w:r>
      <w:proofErr w:type="spellEnd"/>
      <w:r>
        <w:rPr>
          <w:rFonts w:cs="Calibri"/>
          <w:sz w:val="24"/>
          <w:szCs w:val="24"/>
        </w:rPr>
        <w:t xml:space="preserve"> agreements is defined as a process that articulates the representation of knowledge about </w:t>
      </w:r>
      <w:r>
        <w:rPr>
          <w:rFonts w:cs="Calibri"/>
          <w:sz w:val="24"/>
          <w:szCs w:val="24"/>
        </w:rPr>
        <w:t xml:space="preserve">agreements and their actors (typologies, partners, resources, historical results), the intelligent prediction of their behavior and potential contribution (risk identification, estimation of impact on educational quality), and the assessment for strategic </w:t>
      </w:r>
      <w:r>
        <w:rPr>
          <w:rFonts w:cs="Calibri"/>
          <w:sz w:val="24"/>
          <w:szCs w:val="24"/>
        </w:rPr>
        <w:t>decision-making aimed at improving comprehensive education, social relevance and the fulfillment of the institutional mission, all within a specific cultural-historical context and mediated by artificial intelligence tools, so as to generate the sustainabi</w:t>
      </w:r>
      <w:r>
        <w:rPr>
          <w:rFonts w:cs="Calibri"/>
          <w:sz w:val="24"/>
          <w:szCs w:val="24"/>
        </w:rPr>
        <w:t xml:space="preserve">lity of the management of </w:t>
      </w:r>
      <w:proofErr w:type="spellStart"/>
      <w:r>
        <w:rPr>
          <w:rFonts w:cs="Calibri"/>
          <w:sz w:val="24"/>
          <w:szCs w:val="24"/>
        </w:rPr>
        <w:t>interinstitutional</w:t>
      </w:r>
      <w:proofErr w:type="spellEnd"/>
      <w:r>
        <w:rPr>
          <w:rFonts w:cs="Calibri"/>
          <w:sz w:val="24"/>
          <w:szCs w:val="24"/>
        </w:rPr>
        <w:t xml:space="preserve"> alliances.</w:t>
      </w:r>
    </w:p>
    <w:p w:rsidR="008B4D7C" w:rsidRDefault="00D829E8">
      <w:pPr>
        <w:spacing w:after="120"/>
        <w:jc w:val="both"/>
        <w:rPr>
          <w:rFonts w:cs="Calibri"/>
          <w:sz w:val="24"/>
          <w:szCs w:val="24"/>
        </w:rPr>
      </w:pPr>
      <w:r>
        <w:rPr>
          <w:rFonts w:cs="Calibri"/>
          <w:sz w:val="24"/>
          <w:szCs w:val="24"/>
        </w:rPr>
        <w:t>This definition incorporates the principles of diagnosis established by Nieves (2000), namely dynamic, continuous, systematic, preventive, feedback-generating, transformative, multi- and interdiscipli</w:t>
      </w:r>
      <w:r>
        <w:rPr>
          <w:rFonts w:cs="Calibri"/>
          <w:sz w:val="24"/>
          <w:szCs w:val="24"/>
        </w:rPr>
        <w:t xml:space="preserve">nary, collaborative and participatory, and updates them in light of the potential offered by digital technologies and artificial intelligence. Furthermore, it distances itself from </w:t>
      </w:r>
      <w:r>
        <w:rPr>
          <w:rFonts w:cs="Calibri"/>
          <w:sz w:val="24"/>
          <w:szCs w:val="24"/>
        </w:rPr>
        <w:lastRenderedPageBreak/>
        <w:t xml:space="preserve">technocratic conceptions that would reduce diagnosis to a mere algorithmic </w:t>
      </w:r>
      <w:r>
        <w:rPr>
          <w:rFonts w:cs="Calibri"/>
          <w:sz w:val="24"/>
          <w:szCs w:val="24"/>
        </w:rPr>
        <w:t>application, by emphasizing the irreplaceable role of professional judgment, contextual interpretation and the participation of the actors involved.</w:t>
      </w:r>
    </w:p>
    <w:p w:rsidR="008B4D7C" w:rsidRDefault="00D829E8">
      <w:pPr>
        <w:spacing w:after="120"/>
        <w:jc w:val="both"/>
        <w:rPr>
          <w:rFonts w:cs="Calibri"/>
          <w:sz w:val="24"/>
          <w:szCs w:val="24"/>
        </w:rPr>
      </w:pPr>
      <w:r>
        <w:rPr>
          <w:rFonts w:cs="Calibri"/>
          <w:sz w:val="24"/>
          <w:szCs w:val="24"/>
        </w:rPr>
        <w:t xml:space="preserve">On the basis of the foregoing premises, a theoretical proposal for smart diagnosis in the management of </w:t>
      </w:r>
      <w:proofErr w:type="spellStart"/>
      <w:r>
        <w:rPr>
          <w:rFonts w:cs="Calibri"/>
          <w:sz w:val="24"/>
          <w:szCs w:val="24"/>
        </w:rPr>
        <w:t>int</w:t>
      </w:r>
      <w:r>
        <w:rPr>
          <w:rFonts w:cs="Calibri"/>
          <w:sz w:val="24"/>
          <w:szCs w:val="24"/>
        </w:rPr>
        <w:t>erinstitutional</w:t>
      </w:r>
      <w:proofErr w:type="spellEnd"/>
      <w:r>
        <w:rPr>
          <w:rFonts w:cs="Calibri"/>
          <w:sz w:val="24"/>
          <w:szCs w:val="24"/>
        </w:rPr>
        <w:t xml:space="preserve"> agreements oriented to university educational quality is put forward. This proposal is not a technical recipe book, but a theoretical-methodological construction that organizes and articulates the processes, phases and tools needed to carry</w:t>
      </w:r>
      <w:r>
        <w:rPr>
          <w:rFonts w:cs="Calibri"/>
          <w:sz w:val="24"/>
          <w:szCs w:val="24"/>
        </w:rPr>
        <w:t xml:space="preserve"> out a comprehensive, intelligent diagnosis aligned with the institutional educational project and with the demands of the social and global environment.</w:t>
      </w:r>
    </w:p>
    <w:p w:rsidR="008B4D7C" w:rsidRDefault="00D829E8">
      <w:pPr>
        <w:spacing w:after="120"/>
        <w:jc w:val="both"/>
        <w:rPr>
          <w:rFonts w:cs="Calibri"/>
          <w:sz w:val="24"/>
          <w:szCs w:val="24"/>
        </w:rPr>
      </w:pPr>
      <w:r>
        <w:rPr>
          <w:rFonts w:cs="Calibri"/>
          <w:sz w:val="24"/>
          <w:szCs w:val="24"/>
        </w:rPr>
        <w:t>The theoretical proposal rests on three main epistemological foundations, which operate in an integrat</w:t>
      </w:r>
      <w:r>
        <w:rPr>
          <w:rFonts w:cs="Calibri"/>
          <w:sz w:val="24"/>
          <w:szCs w:val="24"/>
        </w:rPr>
        <w:t>ed way and not as watertight compartments.</w:t>
      </w:r>
    </w:p>
    <w:p w:rsidR="008B4D7C" w:rsidRDefault="00D829E8">
      <w:pPr>
        <w:spacing w:after="120"/>
        <w:jc w:val="both"/>
        <w:rPr>
          <w:rFonts w:cs="Calibri"/>
          <w:sz w:val="24"/>
          <w:szCs w:val="24"/>
        </w:rPr>
      </w:pPr>
      <w:r>
        <w:rPr>
          <w:rFonts w:cs="Calibri"/>
          <w:sz w:val="24"/>
          <w:szCs w:val="24"/>
        </w:rPr>
        <w:t>The first foundation is the systemic-structural approach. From this perspective, smart diagnosis is conceived as a subsystem of the broader agreement management system, with its own identity but functionally integ</w:t>
      </w:r>
      <w:r>
        <w:rPr>
          <w:rFonts w:cs="Calibri"/>
          <w:sz w:val="24"/>
          <w:szCs w:val="24"/>
        </w:rPr>
        <w:t>rated into the whole. Its internal components, phases, procedures, instruments and actors, are organized so that they fulfill a specific function within the global system: to provide relevant, timely and predictive information for strategic decision-making</w:t>
      </w:r>
      <w:r>
        <w:rPr>
          <w:rFonts w:cs="Calibri"/>
          <w:sz w:val="24"/>
          <w:szCs w:val="24"/>
        </w:rPr>
        <w:t xml:space="preserve">. </w:t>
      </w:r>
    </w:p>
    <w:p w:rsidR="008B4D7C" w:rsidRDefault="00D829E8">
      <w:pPr>
        <w:spacing w:after="120"/>
        <w:jc w:val="both"/>
        <w:rPr>
          <w:rFonts w:cs="Calibri"/>
          <w:sz w:val="24"/>
          <w:szCs w:val="24"/>
        </w:rPr>
      </w:pPr>
      <w:r>
        <w:rPr>
          <w:rFonts w:cs="Calibri"/>
          <w:sz w:val="24"/>
          <w:szCs w:val="24"/>
        </w:rPr>
        <w:t>The principle of totality implies that diagnosis cannot be understood or implemented in isolation; its meaning and value lie in its contribution to the improvement of agreement management and, through it, to educational quality. The principle of structu</w:t>
      </w:r>
      <w:r>
        <w:rPr>
          <w:rFonts w:cs="Calibri"/>
          <w:sz w:val="24"/>
          <w:szCs w:val="24"/>
        </w:rPr>
        <w:t xml:space="preserve">ral hierarchy recognizes that diagnosis operates at different levels (macro, </w:t>
      </w:r>
      <w:proofErr w:type="spellStart"/>
      <w:r>
        <w:rPr>
          <w:rFonts w:cs="Calibri"/>
          <w:sz w:val="24"/>
          <w:szCs w:val="24"/>
        </w:rPr>
        <w:t>meso</w:t>
      </w:r>
      <w:proofErr w:type="spellEnd"/>
      <w:r>
        <w:rPr>
          <w:rFonts w:cs="Calibri"/>
          <w:sz w:val="24"/>
          <w:szCs w:val="24"/>
        </w:rPr>
        <w:t xml:space="preserve">, micro), from the analysis of institutional cooperation policy to the evaluation of a specific agreement. </w:t>
      </w:r>
    </w:p>
    <w:p w:rsidR="008B4D7C" w:rsidRDefault="00D829E8">
      <w:pPr>
        <w:spacing w:after="120"/>
        <w:jc w:val="both"/>
        <w:rPr>
          <w:rFonts w:cs="Calibri"/>
          <w:sz w:val="24"/>
          <w:szCs w:val="24"/>
        </w:rPr>
      </w:pPr>
      <w:r>
        <w:rPr>
          <w:rFonts w:cs="Calibri"/>
          <w:sz w:val="24"/>
          <w:szCs w:val="24"/>
        </w:rPr>
        <w:t>The principle of functionality establishes that each element of the</w:t>
      </w:r>
      <w:r>
        <w:rPr>
          <w:rFonts w:cs="Calibri"/>
          <w:sz w:val="24"/>
          <w:szCs w:val="24"/>
        </w:rPr>
        <w:t xml:space="preserve"> diagnosis subsystem (for example, data collection instruments, prediction algorithms, results reports) fulfills a specific function, and dysfunctions in any of them affect the whole. Finally, the principle of development recognizes that the diagnosis syst</w:t>
      </w:r>
      <w:r>
        <w:rPr>
          <w:rFonts w:cs="Calibri"/>
          <w:sz w:val="24"/>
          <w:szCs w:val="24"/>
        </w:rPr>
        <w:t>em is not static, but evolves through processes of self-organization, adaptation and continuous improvement.</w:t>
      </w:r>
    </w:p>
    <w:p w:rsidR="008B4D7C" w:rsidRDefault="00D829E8">
      <w:pPr>
        <w:spacing w:after="120"/>
        <w:jc w:val="both"/>
        <w:rPr>
          <w:rFonts w:cs="Calibri"/>
          <w:sz w:val="24"/>
          <w:szCs w:val="24"/>
        </w:rPr>
      </w:pPr>
      <w:r>
        <w:rPr>
          <w:rFonts w:cs="Calibri"/>
          <w:sz w:val="24"/>
          <w:szCs w:val="24"/>
        </w:rPr>
        <w:t>The second foundation is the cultural-historical theory of Lev S. Vygotsky (1987), whose fundamental categories, mediation, zone of proximal develo</w:t>
      </w:r>
      <w:r>
        <w:rPr>
          <w:rFonts w:cs="Calibri"/>
          <w:sz w:val="24"/>
          <w:szCs w:val="24"/>
        </w:rPr>
        <w:t>pment and internalization, are particularly fruitful for understanding smart diagnosis as a complex psychological and social practice. Mediation explains how technological tools (artificial intelligence systems, prediction algorithms, data analysis platfor</w:t>
      </w:r>
      <w:r>
        <w:rPr>
          <w:rFonts w:cs="Calibri"/>
          <w:sz w:val="24"/>
          <w:szCs w:val="24"/>
        </w:rPr>
        <w:t xml:space="preserve">ms, interactive dashboards) act as instruments that transform and expand the cognitive capacities of agreement managers. </w:t>
      </w:r>
    </w:p>
    <w:p w:rsidR="008B4D7C" w:rsidRDefault="00D829E8">
      <w:pPr>
        <w:spacing w:after="120"/>
        <w:jc w:val="both"/>
        <w:rPr>
          <w:rFonts w:cs="Calibri"/>
          <w:sz w:val="24"/>
          <w:szCs w:val="24"/>
        </w:rPr>
      </w:pPr>
      <w:r>
        <w:rPr>
          <w:rFonts w:cs="Calibri"/>
          <w:sz w:val="24"/>
          <w:szCs w:val="24"/>
        </w:rPr>
        <w:t>These tools are not mere external artifacts; they reconfigure the psychological functions of those who use them, enabling them to proc</w:t>
      </w:r>
      <w:r>
        <w:rPr>
          <w:rFonts w:cs="Calibri"/>
          <w:sz w:val="24"/>
          <w:szCs w:val="24"/>
        </w:rPr>
        <w:t xml:space="preserve">ess large volumes of information, identify patterns not visible to the human eye, generate predictions based on statistical models and visualize complex relationships among variables. </w:t>
      </w:r>
    </w:p>
    <w:p w:rsidR="008B4D7C" w:rsidRDefault="00D829E8">
      <w:pPr>
        <w:spacing w:after="120"/>
        <w:jc w:val="both"/>
        <w:rPr>
          <w:rFonts w:cs="Calibri"/>
          <w:sz w:val="24"/>
          <w:szCs w:val="24"/>
        </w:rPr>
      </w:pPr>
      <w:r>
        <w:rPr>
          <w:rFonts w:cs="Calibri"/>
          <w:sz w:val="24"/>
          <w:szCs w:val="24"/>
        </w:rPr>
        <w:lastRenderedPageBreak/>
        <w:t>Mediation operates at three interrelated levels: the instrumental level</w:t>
      </w:r>
      <w:r>
        <w:rPr>
          <w:rFonts w:cs="Calibri"/>
          <w:sz w:val="24"/>
          <w:szCs w:val="24"/>
        </w:rPr>
        <w:t xml:space="preserve"> (material tools such as computers, software and databases), the semiotic level (languages and categories such as "prediction", "early warning" or "probability of success", which structure the way of thinking and speaking about agreements) and the social l</w:t>
      </w:r>
      <w:r>
        <w:rPr>
          <w:rFonts w:cs="Calibri"/>
          <w:sz w:val="24"/>
          <w:szCs w:val="24"/>
        </w:rPr>
        <w:t>evel (interaction with others in communities of practice, where more experienced managers teach novices).</w:t>
      </w:r>
    </w:p>
    <w:p w:rsidR="008B4D7C" w:rsidRDefault="00D829E8">
      <w:pPr>
        <w:spacing w:after="120"/>
        <w:jc w:val="both"/>
        <w:rPr>
          <w:rFonts w:cs="Calibri"/>
          <w:sz w:val="24"/>
          <w:szCs w:val="24"/>
        </w:rPr>
      </w:pPr>
      <w:r>
        <w:rPr>
          <w:rFonts w:cs="Calibri"/>
          <w:sz w:val="24"/>
          <w:szCs w:val="24"/>
        </w:rPr>
        <w:t>The zone of proximal development (ZPD), another central concept in Vygotsky's work, illuminates the processes of training and improving competencies f</w:t>
      </w:r>
      <w:r>
        <w:rPr>
          <w:rFonts w:cs="Calibri"/>
          <w:sz w:val="24"/>
          <w:szCs w:val="24"/>
        </w:rPr>
        <w:t>or smart diagnosis. In the context of smart diagnosis of agreements, the ZPD manifests itself at multiple levels. At the individual level, a manager may have a current level of diagnostic competence (for example, can carry out basic SWOT analyses) and a po</w:t>
      </w:r>
      <w:r>
        <w:rPr>
          <w:rFonts w:cs="Calibri"/>
          <w:sz w:val="24"/>
          <w:szCs w:val="24"/>
        </w:rPr>
        <w:t xml:space="preserve">tential level (can come to interpret AI-generated predictive models) that will be reached with the help of data experts, decision support systems and collaboration with more capable colleagues. </w:t>
      </w:r>
    </w:p>
    <w:p w:rsidR="008B4D7C" w:rsidRDefault="00D829E8">
      <w:pPr>
        <w:spacing w:after="120"/>
        <w:jc w:val="both"/>
        <w:rPr>
          <w:rFonts w:cs="Calibri"/>
          <w:sz w:val="24"/>
          <w:szCs w:val="24"/>
        </w:rPr>
      </w:pPr>
      <w:r>
        <w:rPr>
          <w:rFonts w:cs="Calibri"/>
          <w:sz w:val="24"/>
          <w:szCs w:val="24"/>
        </w:rPr>
        <w:t>At the institutional level, the university has a ZPD that exp</w:t>
      </w:r>
      <w:r>
        <w:rPr>
          <w:rFonts w:cs="Calibri"/>
          <w:sz w:val="24"/>
          <w:szCs w:val="24"/>
        </w:rPr>
        <w:t>resses the gap between its current agreement management capacity (for example, manual and reactive monitoring) and its potential capacity (predictive and strategic management), which can be reached through the incorporation of advanced technologies, extern</w:t>
      </w:r>
      <w:r>
        <w:rPr>
          <w:rFonts w:cs="Calibri"/>
          <w:sz w:val="24"/>
          <w:szCs w:val="24"/>
        </w:rPr>
        <w:t>al advice and staff training. At the level of alliances, two universities may have complementary capacities; their collaboration, mediated by a well-managed agreement and a shared diagnosis, allows them to reach levels of development that they would not ac</w:t>
      </w:r>
      <w:r>
        <w:rPr>
          <w:rFonts w:cs="Calibri"/>
          <w:sz w:val="24"/>
          <w:szCs w:val="24"/>
        </w:rPr>
        <w:t>hieve individually.</w:t>
      </w:r>
    </w:p>
    <w:p w:rsidR="008B4D7C" w:rsidRDefault="00D829E8">
      <w:pPr>
        <w:spacing w:after="120"/>
        <w:jc w:val="both"/>
        <w:rPr>
          <w:rFonts w:cs="Calibri"/>
          <w:sz w:val="24"/>
          <w:szCs w:val="24"/>
        </w:rPr>
      </w:pPr>
      <w:r>
        <w:rPr>
          <w:rFonts w:cs="Calibri"/>
          <w:sz w:val="24"/>
          <w:szCs w:val="24"/>
        </w:rPr>
        <w:t xml:space="preserve">The third relevant Vygotskian concept is internalization, understood as the mechanism through which </w:t>
      </w:r>
      <w:proofErr w:type="spellStart"/>
      <w:r>
        <w:rPr>
          <w:rFonts w:cs="Calibri"/>
          <w:sz w:val="24"/>
          <w:szCs w:val="24"/>
        </w:rPr>
        <w:t>interpsychological</w:t>
      </w:r>
      <w:proofErr w:type="spellEnd"/>
      <w:r>
        <w:rPr>
          <w:rFonts w:cs="Calibri"/>
          <w:sz w:val="24"/>
          <w:szCs w:val="24"/>
        </w:rPr>
        <w:t xml:space="preserve"> functions (what occurs between people, mediated by instruments and signs) become </w:t>
      </w:r>
      <w:proofErr w:type="spellStart"/>
      <w:r>
        <w:rPr>
          <w:rFonts w:cs="Calibri"/>
          <w:sz w:val="24"/>
          <w:szCs w:val="24"/>
        </w:rPr>
        <w:t>intrapsychological</w:t>
      </w:r>
      <w:proofErr w:type="spellEnd"/>
      <w:r>
        <w:rPr>
          <w:rFonts w:cs="Calibri"/>
          <w:sz w:val="24"/>
          <w:szCs w:val="24"/>
        </w:rPr>
        <w:t xml:space="preserve"> functions (intern</w:t>
      </w:r>
      <w:r>
        <w:rPr>
          <w:rFonts w:cs="Calibri"/>
          <w:sz w:val="24"/>
          <w:szCs w:val="24"/>
        </w:rPr>
        <w:t xml:space="preserve">al structures and stable competencies of the subject). In the field of smart diagnosis, internalization involves three processes. </w:t>
      </w:r>
    </w:p>
    <w:p w:rsidR="008B4D7C" w:rsidRDefault="00D829E8">
      <w:pPr>
        <w:spacing w:after="120"/>
        <w:jc w:val="both"/>
        <w:rPr>
          <w:rFonts w:cs="Calibri"/>
          <w:sz w:val="24"/>
          <w:szCs w:val="24"/>
        </w:rPr>
      </w:pPr>
      <w:r>
        <w:rPr>
          <w:rFonts w:cs="Calibri"/>
          <w:sz w:val="24"/>
          <w:szCs w:val="24"/>
        </w:rPr>
        <w:t>First, the appropriation of tools: the manager not only uses the AI system but incorporates it into their professional repert</w:t>
      </w:r>
      <w:r>
        <w:rPr>
          <w:rFonts w:cs="Calibri"/>
          <w:sz w:val="24"/>
          <w:szCs w:val="24"/>
        </w:rPr>
        <w:t>oire; the system becomes an extension of their cognition. Second, the construction of shared meanings: the terms and categories of smart diagnosis (such as "prediction", "early warning", "probability of success") cease to be external technical words and be</w:t>
      </w:r>
      <w:r>
        <w:rPr>
          <w:rFonts w:cs="Calibri"/>
          <w:sz w:val="24"/>
          <w:szCs w:val="24"/>
        </w:rPr>
        <w:t xml:space="preserve">come operational concepts that structure the everyday practice and professional language of the management team. </w:t>
      </w:r>
    </w:p>
    <w:p w:rsidR="008B4D7C" w:rsidRDefault="00D829E8">
      <w:pPr>
        <w:spacing w:after="120"/>
        <w:jc w:val="both"/>
        <w:rPr>
          <w:rFonts w:cs="Calibri"/>
          <w:sz w:val="24"/>
          <w:szCs w:val="24"/>
        </w:rPr>
      </w:pPr>
      <w:r>
        <w:rPr>
          <w:rFonts w:cs="Calibri"/>
          <w:sz w:val="24"/>
          <w:szCs w:val="24"/>
        </w:rPr>
        <w:t>Third, the development of stable competencies: the capacity to carry out smart diagnoses is consolidated as an institutional competence, embed</w:t>
      </w:r>
      <w:r>
        <w:rPr>
          <w:rFonts w:cs="Calibri"/>
          <w:sz w:val="24"/>
          <w:szCs w:val="24"/>
        </w:rPr>
        <w:t>ded in procedures, routines, information systems and organizational culture. This process of internalization is not automatic; it requires favorable institutional conditions: time for learning, support from authorities, recognition of the new competencies,</w:t>
      </w:r>
      <w:r>
        <w:rPr>
          <w:rFonts w:cs="Calibri"/>
          <w:sz w:val="24"/>
          <w:szCs w:val="24"/>
        </w:rPr>
        <w:t xml:space="preserve"> and a conception of technology not as a substitute for the human but as a mediator of human development.</w:t>
      </w:r>
    </w:p>
    <w:p w:rsidR="008B4D7C" w:rsidRDefault="00D829E8" w:rsidP="00394907">
      <w:pPr>
        <w:widowControl/>
        <w:spacing w:after="120"/>
        <w:jc w:val="both"/>
        <w:rPr>
          <w:rFonts w:cs="Calibri"/>
          <w:sz w:val="24"/>
          <w:szCs w:val="24"/>
        </w:rPr>
      </w:pPr>
      <w:r>
        <w:rPr>
          <w:rFonts w:cs="Calibri"/>
          <w:sz w:val="24"/>
          <w:szCs w:val="24"/>
        </w:rPr>
        <w:lastRenderedPageBreak/>
        <w:t>The third foundation of the theor</w:t>
      </w:r>
      <w:bookmarkStart w:id="0" w:name="_GoBack"/>
      <w:bookmarkEnd w:id="0"/>
      <w:r>
        <w:rPr>
          <w:rFonts w:cs="Calibri"/>
          <w:sz w:val="24"/>
          <w:szCs w:val="24"/>
        </w:rPr>
        <w:t xml:space="preserve">etical proposal is the integration of theoretical frameworks drawn from cooperation theory, strategic management and </w:t>
      </w:r>
      <w:r>
        <w:rPr>
          <w:rFonts w:cs="Calibri"/>
          <w:sz w:val="24"/>
          <w:szCs w:val="24"/>
        </w:rPr>
        <w:t xml:space="preserve">the study of the global environment; this integration responds to the need to give diagnosis conceptual solidity and social relevance, avoiding a narrow </w:t>
      </w:r>
      <w:proofErr w:type="spellStart"/>
      <w:r>
        <w:rPr>
          <w:rFonts w:cs="Calibri"/>
          <w:sz w:val="24"/>
          <w:szCs w:val="24"/>
        </w:rPr>
        <w:t>technicism</w:t>
      </w:r>
      <w:proofErr w:type="spellEnd"/>
      <w:r>
        <w:rPr>
          <w:rFonts w:cs="Calibri"/>
          <w:sz w:val="24"/>
          <w:szCs w:val="24"/>
        </w:rPr>
        <w:t xml:space="preserve"> that ignores the political, cultural and ethical dimensions of </w:t>
      </w:r>
      <w:proofErr w:type="spellStart"/>
      <w:r>
        <w:rPr>
          <w:rFonts w:cs="Calibri"/>
          <w:sz w:val="24"/>
          <w:szCs w:val="24"/>
        </w:rPr>
        <w:t>interinstitutional</w:t>
      </w:r>
      <w:proofErr w:type="spellEnd"/>
      <w:r>
        <w:rPr>
          <w:rFonts w:cs="Calibri"/>
          <w:sz w:val="24"/>
          <w:szCs w:val="24"/>
        </w:rPr>
        <w:t xml:space="preserve"> cooperatio</w:t>
      </w:r>
      <w:r>
        <w:rPr>
          <w:rFonts w:cs="Calibri"/>
          <w:sz w:val="24"/>
          <w:szCs w:val="24"/>
        </w:rPr>
        <w:t>n.</w:t>
      </w:r>
    </w:p>
    <w:p w:rsidR="008B4D7C" w:rsidRDefault="00D829E8">
      <w:pPr>
        <w:spacing w:after="120"/>
        <w:jc w:val="both"/>
        <w:rPr>
          <w:rFonts w:cs="Calibri"/>
          <w:sz w:val="24"/>
          <w:szCs w:val="24"/>
        </w:rPr>
      </w:pPr>
      <w:r>
        <w:rPr>
          <w:rFonts w:cs="Calibri"/>
          <w:sz w:val="24"/>
          <w:szCs w:val="24"/>
        </w:rPr>
        <w:t xml:space="preserve">First, Network Theory, developed by authors such as </w:t>
      </w:r>
      <w:proofErr w:type="spellStart"/>
      <w:r>
        <w:rPr>
          <w:rFonts w:cs="Calibri"/>
          <w:sz w:val="24"/>
          <w:szCs w:val="24"/>
        </w:rPr>
        <w:t>Borgatti</w:t>
      </w:r>
      <w:proofErr w:type="spellEnd"/>
      <w:r>
        <w:rPr>
          <w:rFonts w:cs="Calibri"/>
          <w:sz w:val="24"/>
          <w:szCs w:val="24"/>
        </w:rPr>
        <w:t xml:space="preserve"> and </w:t>
      </w:r>
      <w:proofErr w:type="spellStart"/>
      <w:r>
        <w:rPr>
          <w:rFonts w:cs="Calibri"/>
          <w:sz w:val="24"/>
          <w:szCs w:val="24"/>
        </w:rPr>
        <w:t>Halgin</w:t>
      </w:r>
      <w:proofErr w:type="spellEnd"/>
      <w:r>
        <w:rPr>
          <w:rFonts w:cs="Calibri"/>
          <w:sz w:val="24"/>
          <w:szCs w:val="24"/>
        </w:rPr>
        <w:t xml:space="preserve"> (2011) and </w:t>
      </w:r>
      <w:proofErr w:type="spellStart"/>
      <w:r>
        <w:rPr>
          <w:rFonts w:cs="Calibri"/>
          <w:sz w:val="24"/>
          <w:szCs w:val="24"/>
        </w:rPr>
        <w:t>Granovetter</w:t>
      </w:r>
      <w:proofErr w:type="spellEnd"/>
      <w:r>
        <w:rPr>
          <w:rFonts w:cs="Calibri"/>
          <w:sz w:val="24"/>
          <w:szCs w:val="24"/>
        </w:rPr>
        <w:t xml:space="preserve"> (1973), provides categories for analyzing the structure of cooperative relationships. It makes it possible to view the university as a node within a broader n</w:t>
      </w:r>
      <w:r>
        <w:rPr>
          <w:rFonts w:cs="Calibri"/>
          <w:sz w:val="24"/>
          <w:szCs w:val="24"/>
        </w:rPr>
        <w:t>etwork of actors (other universities, companies, government bodies, civil society organizations), identify the strength of ties (distinguishing between superficial alliances and deep collaborations), analyze the centrality or periphery of the institution i</w:t>
      </w:r>
      <w:r>
        <w:rPr>
          <w:rFonts w:cs="Calibri"/>
          <w:sz w:val="24"/>
          <w:szCs w:val="24"/>
        </w:rPr>
        <w:t xml:space="preserve">n the network, and detect possible structural gaps or collaboration clusters that can be strategically exploited. </w:t>
      </w:r>
    </w:p>
    <w:p w:rsidR="008B4D7C" w:rsidRDefault="00D829E8">
      <w:pPr>
        <w:spacing w:after="120"/>
        <w:jc w:val="both"/>
        <w:rPr>
          <w:rFonts w:cs="Calibri"/>
          <w:sz w:val="24"/>
          <w:szCs w:val="24"/>
        </w:rPr>
      </w:pPr>
      <w:r>
        <w:rPr>
          <w:rFonts w:cs="Calibri"/>
          <w:sz w:val="24"/>
          <w:szCs w:val="24"/>
        </w:rPr>
        <w:t>In the proposal, this theory underpins the contextual analysis phase, particularly the identification of opportunities and threats related to</w:t>
      </w:r>
      <w:r>
        <w:rPr>
          <w:rFonts w:cs="Calibri"/>
          <w:sz w:val="24"/>
          <w:szCs w:val="24"/>
        </w:rPr>
        <w:t xml:space="preserve"> the university's position in the cooperation ecosystem.</w:t>
      </w:r>
    </w:p>
    <w:p w:rsidR="008B4D7C" w:rsidRDefault="00D829E8">
      <w:pPr>
        <w:spacing w:after="120"/>
        <w:jc w:val="both"/>
        <w:rPr>
          <w:rFonts w:cs="Calibri"/>
          <w:sz w:val="24"/>
          <w:szCs w:val="24"/>
        </w:rPr>
      </w:pPr>
      <w:r>
        <w:rPr>
          <w:rFonts w:cs="Calibri"/>
          <w:sz w:val="24"/>
          <w:szCs w:val="24"/>
        </w:rPr>
        <w:t xml:space="preserve">Second, Stakeholder Theory (Freeman, 1984; </w:t>
      </w:r>
      <w:proofErr w:type="spellStart"/>
      <w:r>
        <w:rPr>
          <w:rFonts w:cs="Calibri"/>
          <w:sz w:val="24"/>
          <w:szCs w:val="24"/>
        </w:rPr>
        <w:t>Mainardes</w:t>
      </w:r>
      <w:proofErr w:type="spellEnd"/>
      <w:r>
        <w:rPr>
          <w:rFonts w:cs="Calibri"/>
          <w:sz w:val="24"/>
          <w:szCs w:val="24"/>
        </w:rPr>
        <w:t xml:space="preserve"> </w:t>
      </w:r>
      <w:r>
        <w:rPr>
          <w:rFonts w:cs="Calibri"/>
          <w:i/>
          <w:iCs/>
          <w:sz w:val="24"/>
          <w:szCs w:val="24"/>
        </w:rPr>
        <w:t>et al</w:t>
      </w:r>
      <w:r>
        <w:rPr>
          <w:rFonts w:cs="Calibri"/>
          <w:sz w:val="24"/>
          <w:szCs w:val="24"/>
        </w:rPr>
        <w:t>., 2011) complements the analysis by focusing attention on the different interest groups that affect or are affected by agreements. This theo</w:t>
      </w:r>
      <w:r>
        <w:rPr>
          <w:rFonts w:cs="Calibri"/>
          <w:sz w:val="24"/>
          <w:szCs w:val="24"/>
        </w:rPr>
        <w:t>ry obliges diagnosis to ask not only about the internal efficiency of agreements but about the satisfaction of the expectations of students, teachers, administrative staff, external partners, beneficiary communities and funding bodies. The theoretical prop</w:t>
      </w:r>
      <w:r>
        <w:rPr>
          <w:rFonts w:cs="Calibri"/>
          <w:sz w:val="24"/>
          <w:szCs w:val="24"/>
        </w:rPr>
        <w:t>osal operationalizes this theory by including satisfaction indicators, analysis of perceived needs and mechanisms for stakeholder participation in the diagnosis and evaluation phases.</w:t>
      </w:r>
    </w:p>
    <w:p w:rsidR="008B4D7C" w:rsidRDefault="00D829E8">
      <w:pPr>
        <w:spacing w:after="120"/>
        <w:jc w:val="both"/>
        <w:rPr>
          <w:rFonts w:cs="Calibri"/>
          <w:sz w:val="24"/>
          <w:szCs w:val="24"/>
        </w:rPr>
      </w:pPr>
      <w:r>
        <w:rPr>
          <w:rFonts w:cs="Calibri"/>
          <w:sz w:val="24"/>
          <w:szCs w:val="24"/>
        </w:rPr>
        <w:t xml:space="preserve">Third, knowledge management, particularly the works of </w:t>
      </w:r>
      <w:proofErr w:type="spellStart"/>
      <w:r>
        <w:rPr>
          <w:rFonts w:cs="Calibri"/>
          <w:sz w:val="24"/>
          <w:szCs w:val="24"/>
        </w:rPr>
        <w:t>Nonaka</w:t>
      </w:r>
      <w:proofErr w:type="spellEnd"/>
      <w:r>
        <w:rPr>
          <w:rFonts w:cs="Calibri"/>
          <w:sz w:val="24"/>
          <w:szCs w:val="24"/>
        </w:rPr>
        <w:t xml:space="preserve"> and Takeuc</w:t>
      </w:r>
      <w:r>
        <w:rPr>
          <w:rFonts w:cs="Calibri"/>
          <w:sz w:val="24"/>
          <w:szCs w:val="24"/>
        </w:rPr>
        <w:t xml:space="preserve">hi (1995) and Davenport and </w:t>
      </w:r>
      <w:proofErr w:type="spellStart"/>
      <w:r>
        <w:rPr>
          <w:rFonts w:cs="Calibri"/>
          <w:sz w:val="24"/>
          <w:szCs w:val="24"/>
        </w:rPr>
        <w:t>Prusak</w:t>
      </w:r>
      <w:proofErr w:type="spellEnd"/>
      <w:r>
        <w:rPr>
          <w:rFonts w:cs="Calibri"/>
          <w:sz w:val="24"/>
          <w:szCs w:val="24"/>
        </w:rPr>
        <w:t xml:space="preserve"> (1998), provides a framework for assessing whether agreements are generating, transferring and co-creating knowledge relevant to educational quality. An agreement that does not produce new pedagogical, scientific or techn</w:t>
      </w:r>
      <w:r>
        <w:rPr>
          <w:rFonts w:cs="Calibri"/>
          <w:sz w:val="24"/>
          <w:szCs w:val="24"/>
        </w:rPr>
        <w:t xml:space="preserve">ological knowledge, or that fails to ensure that this knowledge is internalized by the university community, is a sterile agreement from the perspective of institutional transformation. </w:t>
      </w:r>
    </w:p>
    <w:p w:rsidR="008B4D7C" w:rsidRDefault="00D829E8">
      <w:pPr>
        <w:spacing w:after="120"/>
        <w:jc w:val="both"/>
        <w:rPr>
          <w:rFonts w:cs="Calibri"/>
          <w:sz w:val="24"/>
          <w:szCs w:val="24"/>
        </w:rPr>
      </w:pPr>
      <w:r>
        <w:rPr>
          <w:rFonts w:cs="Calibri"/>
          <w:sz w:val="24"/>
          <w:szCs w:val="24"/>
        </w:rPr>
        <w:t>The theoretical proposal incorporates this dimension by assessing the</w:t>
      </w:r>
      <w:r>
        <w:rPr>
          <w:rFonts w:cs="Calibri"/>
          <w:sz w:val="24"/>
          <w:szCs w:val="24"/>
        </w:rPr>
        <w:t xml:space="preserve"> state of collaboration, asking about knowledge flows between partner institutions, about the mechanisms of socialization, externalization, combination and internalization (</w:t>
      </w:r>
      <w:proofErr w:type="spellStart"/>
      <w:r>
        <w:rPr>
          <w:rFonts w:cs="Calibri"/>
          <w:sz w:val="24"/>
          <w:szCs w:val="24"/>
        </w:rPr>
        <w:t>Nonaka</w:t>
      </w:r>
      <w:proofErr w:type="spellEnd"/>
      <w:r>
        <w:rPr>
          <w:rFonts w:cs="Calibri"/>
          <w:sz w:val="24"/>
          <w:szCs w:val="24"/>
        </w:rPr>
        <w:t xml:space="preserve"> &amp; Takeuchi, 1995), and about the impact of these flows on curricular innovat</w:t>
      </w:r>
      <w:r>
        <w:rPr>
          <w:rFonts w:cs="Calibri"/>
          <w:sz w:val="24"/>
          <w:szCs w:val="24"/>
        </w:rPr>
        <w:t>ion, teacher updating and joint scientific production.</w:t>
      </w:r>
    </w:p>
    <w:p w:rsidR="008B4D7C" w:rsidRDefault="00D829E8">
      <w:pPr>
        <w:spacing w:after="120"/>
        <w:jc w:val="both"/>
        <w:rPr>
          <w:rFonts w:cs="Calibri"/>
          <w:sz w:val="24"/>
          <w:szCs w:val="24"/>
        </w:rPr>
      </w:pPr>
      <w:r>
        <w:rPr>
          <w:rFonts w:cs="Calibri"/>
          <w:sz w:val="24"/>
          <w:szCs w:val="24"/>
        </w:rPr>
        <w:t>Fourth, educational quality models, such as the EFQM model (EFQM, 2019) and the theoretical approaches of Harvey and Green (1993), connect agreement management with institutional quality assurance syst</w:t>
      </w:r>
      <w:r>
        <w:rPr>
          <w:rFonts w:cs="Calibri"/>
          <w:sz w:val="24"/>
          <w:szCs w:val="24"/>
        </w:rPr>
        <w:t xml:space="preserve">ems. These models consider partnerships with partners and suppliers a relevant criterion for organizational excellence, and establish that continuous improvement </w:t>
      </w:r>
      <w:r>
        <w:rPr>
          <w:rFonts w:cs="Calibri"/>
          <w:sz w:val="24"/>
          <w:szCs w:val="24"/>
        </w:rPr>
        <w:lastRenderedPageBreak/>
        <w:t>processes must be based on evidence, measurement and feedback. In the theoretical proposal, th</w:t>
      </w:r>
      <w:r>
        <w:rPr>
          <w:rFonts w:cs="Calibri"/>
          <w:sz w:val="24"/>
          <w:szCs w:val="24"/>
        </w:rPr>
        <w:t>ese approaches translate into the requirement of clear performance indicators, the incorporation of diagnosis results into strategic planning cycles, and accountability to accreditation bodies.</w:t>
      </w:r>
    </w:p>
    <w:p w:rsidR="008B4D7C" w:rsidRDefault="00D829E8">
      <w:pPr>
        <w:spacing w:after="120"/>
        <w:jc w:val="both"/>
        <w:rPr>
          <w:rFonts w:cs="Calibri"/>
          <w:sz w:val="24"/>
          <w:szCs w:val="24"/>
        </w:rPr>
      </w:pPr>
      <w:r>
        <w:rPr>
          <w:rFonts w:cs="Calibri"/>
          <w:sz w:val="24"/>
          <w:szCs w:val="24"/>
        </w:rPr>
        <w:t>Fifth, the theory of change, developed by Weiss (1995) and ope</w:t>
      </w:r>
      <w:r>
        <w:rPr>
          <w:rFonts w:cs="Calibri"/>
          <w:sz w:val="24"/>
          <w:szCs w:val="24"/>
        </w:rPr>
        <w:t>rationalized through the Logic Model (Kellogg Foundation, 2004), provides the causal structure that makes it possible to predict transformation. This theory requires making explicit the sequence running from inputs (human, financial and technological resou</w:t>
      </w:r>
      <w:r>
        <w:rPr>
          <w:rFonts w:cs="Calibri"/>
          <w:sz w:val="24"/>
          <w:szCs w:val="24"/>
        </w:rPr>
        <w:t>rces) to activities (workshops, mobility exchanges, joint projects), outputs (number of active agreements, students on mobility, joint publications), short- and medium-term outcomes (students' global competencies, strengthened research networks, updated cu</w:t>
      </w:r>
      <w:r>
        <w:rPr>
          <w:rFonts w:cs="Calibri"/>
          <w:sz w:val="24"/>
          <w:szCs w:val="24"/>
        </w:rPr>
        <w:t xml:space="preserve">rricula) and the final impact (improved educational quality, social relevance, fulfillment of the mission). </w:t>
      </w:r>
    </w:p>
    <w:p w:rsidR="008B4D7C" w:rsidRDefault="00D829E8">
      <w:pPr>
        <w:spacing w:after="120"/>
        <w:jc w:val="both"/>
        <w:rPr>
          <w:rFonts w:cs="Calibri"/>
          <w:sz w:val="24"/>
          <w:szCs w:val="24"/>
        </w:rPr>
      </w:pPr>
      <w:r>
        <w:rPr>
          <w:rFonts w:cs="Calibri"/>
          <w:sz w:val="24"/>
          <w:szCs w:val="24"/>
        </w:rPr>
        <w:t>Theory of Change also requires identifying the critical assumptions, those conditions that must be met for each step in the causal chain to be effe</w:t>
      </w:r>
      <w:r>
        <w:rPr>
          <w:rFonts w:cs="Calibri"/>
          <w:sz w:val="24"/>
          <w:szCs w:val="24"/>
        </w:rPr>
        <w:t>ctive, and the external factors that may facilitate or hinder the process. That logical structure is the basis on which the transformation prediction phase of the theoretical proposal is built.</w:t>
      </w:r>
    </w:p>
    <w:p w:rsidR="008B4D7C" w:rsidRDefault="00D829E8">
      <w:pPr>
        <w:spacing w:after="120"/>
        <w:jc w:val="both"/>
        <w:rPr>
          <w:rFonts w:cs="Calibri"/>
          <w:sz w:val="24"/>
          <w:szCs w:val="24"/>
        </w:rPr>
      </w:pPr>
      <w:r>
        <w:rPr>
          <w:rFonts w:cs="Calibri"/>
          <w:sz w:val="24"/>
          <w:szCs w:val="24"/>
        </w:rPr>
        <w:t xml:space="preserve">Sixth, sustainable development theory and its applications in </w:t>
      </w:r>
      <w:r>
        <w:rPr>
          <w:rFonts w:cs="Calibri"/>
          <w:sz w:val="24"/>
          <w:szCs w:val="24"/>
        </w:rPr>
        <w:t>the university sphere, particularly through University Social Responsibility (</w:t>
      </w:r>
      <w:proofErr w:type="spellStart"/>
      <w:r>
        <w:rPr>
          <w:rFonts w:cs="Calibri"/>
          <w:sz w:val="24"/>
          <w:szCs w:val="24"/>
        </w:rPr>
        <w:t>Vallaeys</w:t>
      </w:r>
      <w:proofErr w:type="spellEnd"/>
      <w:r>
        <w:rPr>
          <w:rFonts w:cs="Calibri"/>
          <w:sz w:val="24"/>
          <w:szCs w:val="24"/>
        </w:rPr>
        <w:t xml:space="preserve"> </w:t>
      </w:r>
      <w:r>
        <w:rPr>
          <w:rFonts w:cs="Calibri"/>
          <w:i/>
          <w:iCs/>
          <w:sz w:val="24"/>
          <w:szCs w:val="24"/>
        </w:rPr>
        <w:t>et al</w:t>
      </w:r>
      <w:r>
        <w:rPr>
          <w:rFonts w:cs="Calibri"/>
          <w:sz w:val="24"/>
          <w:szCs w:val="24"/>
        </w:rPr>
        <w:t xml:space="preserve">., 2009), give the theoretical proposal an ethical and forward-looking dimension. </w:t>
      </w:r>
    </w:p>
    <w:p w:rsidR="008B4D7C" w:rsidRDefault="00D829E8">
      <w:pPr>
        <w:spacing w:after="120"/>
        <w:jc w:val="both"/>
        <w:rPr>
          <w:rFonts w:cs="Calibri"/>
          <w:sz w:val="24"/>
          <w:szCs w:val="24"/>
        </w:rPr>
      </w:pPr>
      <w:r>
        <w:rPr>
          <w:rFonts w:cs="Calibri"/>
          <w:sz w:val="24"/>
          <w:szCs w:val="24"/>
        </w:rPr>
        <w:t>Sustainable development, understood as development that meets the needs of the pr</w:t>
      </w:r>
      <w:r>
        <w:rPr>
          <w:rFonts w:cs="Calibri"/>
          <w:sz w:val="24"/>
          <w:szCs w:val="24"/>
        </w:rPr>
        <w:t xml:space="preserve">esent without compromising the ability of future generations to meet their own, implies that agreements cannot be evaluated solely on their short-term efficiency but on their contribution to equity, inclusion, social justice and environmental protection. </w:t>
      </w:r>
    </w:p>
    <w:p w:rsidR="008B4D7C" w:rsidRDefault="00D829E8">
      <w:pPr>
        <w:spacing w:after="120"/>
        <w:jc w:val="both"/>
        <w:rPr>
          <w:rFonts w:cs="Calibri"/>
          <w:sz w:val="24"/>
          <w:szCs w:val="24"/>
        </w:rPr>
      </w:pPr>
      <w:r>
        <w:rPr>
          <w:rFonts w:cs="Calibri"/>
          <w:sz w:val="24"/>
          <w:szCs w:val="24"/>
        </w:rPr>
        <w:t xml:space="preserve">The 2030 Agenda and its 17 SDGs (Moreno </w:t>
      </w:r>
      <w:r>
        <w:rPr>
          <w:rFonts w:cs="Calibri"/>
          <w:i/>
          <w:iCs/>
          <w:sz w:val="24"/>
          <w:szCs w:val="24"/>
        </w:rPr>
        <w:t>et al., 2025</w:t>
      </w:r>
      <w:r>
        <w:rPr>
          <w:rFonts w:cs="Calibri"/>
          <w:sz w:val="24"/>
          <w:szCs w:val="24"/>
        </w:rPr>
        <w:t>) offer an operational framework for this evaluation. The theoretical proposal incorporates this approach by requiring that each strategic agreement make explicit its contribution to one or more SDGs, tha</w:t>
      </w:r>
      <w:r>
        <w:rPr>
          <w:rFonts w:cs="Calibri"/>
          <w:sz w:val="24"/>
          <w:szCs w:val="24"/>
        </w:rPr>
        <w:t xml:space="preserve">t indicators of social and environmental impact be designed, and that these aspects be reported on periodically. It is also aligned with the new social contract for education (Roque, 2025), which advocates a cooperative, solidarity-based pedagogy centered </w:t>
      </w:r>
      <w:r>
        <w:rPr>
          <w:rFonts w:cs="Calibri"/>
          <w:sz w:val="24"/>
          <w:szCs w:val="24"/>
        </w:rPr>
        <w:t>on the common good, and which recognizes the existence of multiple forms of knowledge beyond institutional or regional norms.</w:t>
      </w:r>
    </w:p>
    <w:p w:rsidR="008B4D7C" w:rsidRDefault="00D829E8">
      <w:pPr>
        <w:spacing w:after="120"/>
        <w:jc w:val="both"/>
        <w:rPr>
          <w:rFonts w:cs="Calibri"/>
          <w:sz w:val="24"/>
          <w:szCs w:val="24"/>
        </w:rPr>
      </w:pPr>
      <w:r>
        <w:rPr>
          <w:rFonts w:cs="Calibri"/>
          <w:sz w:val="24"/>
          <w:szCs w:val="24"/>
        </w:rPr>
        <w:t>Finally, Agency Theory (</w:t>
      </w:r>
      <w:proofErr w:type="spellStart"/>
      <w:r>
        <w:rPr>
          <w:rFonts w:cs="Calibri"/>
          <w:sz w:val="24"/>
          <w:szCs w:val="24"/>
        </w:rPr>
        <w:t>Eisenhardt</w:t>
      </w:r>
      <w:proofErr w:type="spellEnd"/>
      <w:r>
        <w:rPr>
          <w:rFonts w:cs="Calibri"/>
          <w:sz w:val="24"/>
          <w:szCs w:val="24"/>
        </w:rPr>
        <w:t>, 1989) and developments in risk management in VUCA environments (Volatile, Uncertain, Complex a</w:t>
      </w:r>
      <w:r>
        <w:rPr>
          <w:rFonts w:cs="Calibri"/>
          <w:sz w:val="24"/>
          <w:szCs w:val="24"/>
        </w:rPr>
        <w:t xml:space="preserve">nd Ambiguous) (Bennett &amp; </w:t>
      </w:r>
      <w:proofErr w:type="spellStart"/>
      <w:r>
        <w:rPr>
          <w:rFonts w:cs="Calibri"/>
          <w:sz w:val="24"/>
          <w:szCs w:val="24"/>
        </w:rPr>
        <w:t>Lemoine</w:t>
      </w:r>
      <w:proofErr w:type="spellEnd"/>
      <w:r>
        <w:rPr>
          <w:rFonts w:cs="Calibri"/>
          <w:sz w:val="24"/>
          <w:szCs w:val="24"/>
        </w:rPr>
        <w:t xml:space="preserve">, 2014) provide conceptual tools for addressing the inevitable tensions, information asymmetries and coordination challenges that arise in any cooperative relationship. </w:t>
      </w:r>
    </w:p>
    <w:p w:rsidR="008B4D7C" w:rsidRDefault="00D829E8">
      <w:pPr>
        <w:spacing w:after="120"/>
        <w:jc w:val="both"/>
        <w:rPr>
          <w:rFonts w:cs="Calibri"/>
          <w:sz w:val="24"/>
          <w:szCs w:val="24"/>
        </w:rPr>
      </w:pPr>
      <w:r>
        <w:rPr>
          <w:rFonts w:cs="Calibri"/>
          <w:sz w:val="24"/>
          <w:szCs w:val="24"/>
        </w:rPr>
        <w:t>Agency Theory explains the need to align the interests</w:t>
      </w:r>
      <w:r>
        <w:rPr>
          <w:rFonts w:cs="Calibri"/>
          <w:sz w:val="24"/>
          <w:szCs w:val="24"/>
        </w:rPr>
        <w:t xml:space="preserve"> of the university and its partners, along with monitoring, incentives and accountability. The literature on VUCA environments, for its part, </w:t>
      </w:r>
      <w:r>
        <w:rPr>
          <w:rFonts w:cs="Calibri"/>
          <w:sz w:val="24"/>
          <w:szCs w:val="24"/>
        </w:rPr>
        <w:lastRenderedPageBreak/>
        <w:t>justifies the incorporation of scenario analysis, contingency plans and flexibility clauses into agreements, so th</w:t>
      </w:r>
      <w:r>
        <w:rPr>
          <w:rFonts w:cs="Calibri"/>
          <w:sz w:val="24"/>
          <w:szCs w:val="24"/>
        </w:rPr>
        <w:t>at alliances can withstand and adapt to health crises, political instability, technological disruptions or other external shocks.</w:t>
      </w:r>
    </w:p>
    <w:p w:rsidR="008B4D7C" w:rsidRDefault="00D829E8">
      <w:pPr>
        <w:spacing w:after="120"/>
        <w:jc w:val="both"/>
        <w:rPr>
          <w:rFonts w:cs="Calibri"/>
          <w:sz w:val="24"/>
          <w:szCs w:val="24"/>
        </w:rPr>
      </w:pPr>
      <w:r>
        <w:rPr>
          <w:rFonts w:cs="Calibri"/>
          <w:sz w:val="24"/>
          <w:szCs w:val="24"/>
        </w:rPr>
        <w:t>On the basis of these integrated foundations, the theoretical proposal is structured in three interrelated phases, not sequent</w:t>
      </w:r>
      <w:r>
        <w:rPr>
          <w:rFonts w:cs="Calibri"/>
          <w:sz w:val="24"/>
          <w:szCs w:val="24"/>
        </w:rPr>
        <w:t>ial but recursive, which are continuously fed back into one another.</w:t>
      </w:r>
    </w:p>
    <w:p w:rsidR="008B4D7C" w:rsidRDefault="00D829E8">
      <w:pPr>
        <w:spacing w:after="120"/>
        <w:jc w:val="both"/>
        <w:rPr>
          <w:rFonts w:cs="Calibri"/>
          <w:sz w:val="24"/>
          <w:szCs w:val="24"/>
        </w:rPr>
      </w:pPr>
      <w:r>
        <w:rPr>
          <w:rFonts w:cs="Calibri"/>
          <w:sz w:val="24"/>
          <w:szCs w:val="24"/>
        </w:rPr>
        <w:t>The first phase is contextual analysis, carried out by means of a SWOT matrix (strengths, opportunities, weaknesses, threats) specifically oriented to agreement management. Unlike the gen</w:t>
      </w:r>
      <w:r>
        <w:rPr>
          <w:rFonts w:cs="Calibri"/>
          <w:sz w:val="24"/>
          <w:szCs w:val="24"/>
        </w:rPr>
        <w:t>eric SWOT, this contextualized version asks about the characteristics specific to the management process: internal strengths (such as the existence of a clear regulatory framework, specialized staff, a portfolio of strategic partners or information systems</w:t>
      </w:r>
      <w:r>
        <w:rPr>
          <w:rFonts w:cs="Calibri"/>
          <w:sz w:val="24"/>
          <w:szCs w:val="24"/>
        </w:rPr>
        <w:t>), internal weaknesses (reactive management, dormant "shelved" agreements with low implementation, insufficient budget, weak internal communication, lack of performance indicators), external opportunities (public funding programs, global trends favorable t</w:t>
      </w:r>
      <w:r>
        <w:rPr>
          <w:rFonts w:cs="Calibri"/>
          <w:sz w:val="24"/>
          <w:szCs w:val="24"/>
        </w:rPr>
        <w:t xml:space="preserve">o internationalization, unmet needs of the productive sector) and external threats (political or economic instability, competition among universities, excessive bureaucracy, academic protectionism, changes in partners' priorities). </w:t>
      </w:r>
    </w:p>
    <w:p w:rsidR="008B4D7C" w:rsidRDefault="00D829E8">
      <w:pPr>
        <w:spacing w:after="120"/>
        <w:jc w:val="both"/>
        <w:rPr>
          <w:rFonts w:cs="Calibri"/>
          <w:sz w:val="24"/>
          <w:szCs w:val="24"/>
        </w:rPr>
      </w:pPr>
      <w:r>
        <w:rPr>
          <w:rFonts w:cs="Calibri"/>
          <w:sz w:val="24"/>
          <w:szCs w:val="24"/>
        </w:rPr>
        <w:t>This SWOT analysis is e</w:t>
      </w:r>
      <w:r>
        <w:rPr>
          <w:rFonts w:cs="Calibri"/>
          <w:sz w:val="24"/>
          <w:szCs w:val="24"/>
        </w:rPr>
        <w:t>nriched with additional layers that incorporate the frameworks mentioned above: the alignment of agreements with the SDGs, with UNESCO's new social contract and with the institutional mission, vision and strategic objectives is assessed. A risk analysis is</w:t>
      </w:r>
      <w:r>
        <w:rPr>
          <w:rFonts w:cs="Calibri"/>
          <w:sz w:val="24"/>
          <w:szCs w:val="24"/>
        </w:rPr>
        <w:t xml:space="preserve"> also incorporated that identifies the vulnerabilities of each agreement in the face of scenarios of uncertainty.</w:t>
      </w:r>
    </w:p>
    <w:p w:rsidR="008B4D7C" w:rsidRDefault="00D829E8">
      <w:pPr>
        <w:spacing w:after="120"/>
        <w:jc w:val="both"/>
        <w:rPr>
          <w:rFonts w:cs="Calibri"/>
          <w:sz w:val="24"/>
          <w:szCs w:val="24"/>
        </w:rPr>
      </w:pPr>
      <w:r>
        <w:rPr>
          <w:rFonts w:cs="Calibri"/>
          <w:sz w:val="24"/>
          <w:szCs w:val="24"/>
        </w:rPr>
        <w:t>The second phase is the assessment of the state of collaboration and cooperation, which goes beyond SWOT analysis by measuring the "health" of</w:t>
      </w:r>
      <w:r>
        <w:rPr>
          <w:rFonts w:cs="Calibri"/>
          <w:sz w:val="24"/>
          <w:szCs w:val="24"/>
        </w:rPr>
        <w:t xml:space="preserve"> alliances and their degree of maturity. To this end, an evaluation matrix is proposed that considers dimensions such as governance (are there monitoring committees with regular meetings and defined goals, or are the agreements informal and without clear s</w:t>
      </w:r>
      <w:r>
        <w:rPr>
          <w:rFonts w:cs="Calibri"/>
          <w:sz w:val="24"/>
          <w:szCs w:val="24"/>
        </w:rPr>
        <w:t>tructure?), communication (is it fluid, transparent and multichannel, or reactive and only for solving problems?), shared resources (are activities jointly financed and infrastructure and staff systematically exchanged, or does each institution fund its ow</w:t>
      </w:r>
      <w:r>
        <w:rPr>
          <w:rFonts w:cs="Calibri"/>
          <w:sz w:val="24"/>
          <w:szCs w:val="24"/>
        </w:rPr>
        <w:t>n separately?), joint activities (are they limited to sporadic mobility or do they include research projects, dual-degree programs, joint laboratories and collaborative publications?), and the strategic nature of the alliance (is it transformative, creatin</w:t>
      </w:r>
      <w:r>
        <w:rPr>
          <w:rFonts w:cs="Calibri"/>
          <w:sz w:val="24"/>
          <w:szCs w:val="24"/>
        </w:rPr>
        <w:t xml:space="preserve">g something new that the institutions could not achieve separately, or merely transactional?). </w:t>
      </w:r>
    </w:p>
    <w:p w:rsidR="008B4D7C" w:rsidRDefault="00D829E8">
      <w:pPr>
        <w:spacing w:after="120"/>
        <w:jc w:val="both"/>
        <w:rPr>
          <w:rFonts w:cs="Calibri"/>
          <w:sz w:val="24"/>
          <w:szCs w:val="24"/>
        </w:rPr>
      </w:pPr>
      <w:r>
        <w:rPr>
          <w:rFonts w:cs="Calibri"/>
          <w:sz w:val="24"/>
          <w:szCs w:val="24"/>
        </w:rPr>
        <w:t xml:space="preserve">This matrix is complemented by an evaluation of sustainability from the perspective of the SDGs, of ethics and equity in the relationship (avoiding North-South </w:t>
      </w:r>
      <w:r>
        <w:rPr>
          <w:rFonts w:cs="Calibri"/>
          <w:sz w:val="24"/>
          <w:szCs w:val="24"/>
        </w:rPr>
        <w:t>or university-industry hierarchies that reproduce inequalities), of resilience in the face of crises (flexible clauses and contingency budgets) and of the use of data and intelligence for informed decision-making.</w:t>
      </w:r>
    </w:p>
    <w:p w:rsidR="008B4D7C" w:rsidRDefault="00D829E8">
      <w:pPr>
        <w:spacing w:after="120"/>
        <w:jc w:val="both"/>
        <w:rPr>
          <w:rFonts w:cs="Calibri"/>
          <w:sz w:val="24"/>
          <w:szCs w:val="24"/>
        </w:rPr>
      </w:pPr>
      <w:r>
        <w:rPr>
          <w:rFonts w:cs="Calibri"/>
          <w:sz w:val="24"/>
          <w:szCs w:val="24"/>
        </w:rPr>
        <w:lastRenderedPageBreak/>
        <w:t>The third phase is the prediction of trans</w:t>
      </w:r>
      <w:r>
        <w:rPr>
          <w:rFonts w:cs="Calibri"/>
          <w:sz w:val="24"/>
          <w:szCs w:val="24"/>
        </w:rPr>
        <w:t>formation, which uses the structure of the theory of change to project the probable results of agreements and design strategic action pathways. This phase makes explicit the causal chain that connects inputs (budget, specialized staff, aligned partners, re</w:t>
      </w:r>
      <w:r>
        <w:rPr>
          <w:rFonts w:cs="Calibri"/>
          <w:sz w:val="24"/>
          <w:szCs w:val="24"/>
        </w:rPr>
        <w:t>gulatory framework) with activities (signing of strategic agreements, creation of monitoring committees, launching of calls for proposals, efficient management of cooperation, mitigation of weaknesses and threats), outputs (number of active agreements, stu</w:t>
      </w:r>
      <w:r>
        <w:rPr>
          <w:rFonts w:cs="Calibri"/>
          <w:sz w:val="24"/>
          <w:szCs w:val="24"/>
        </w:rPr>
        <w:t>dents and teachers on mobility, joint research projects, dual degrees, shared resources, satisfaction indices), short- and medium-term outcomes (students with global competencies, academics with strengthened international networks, high-impact joint public</w:t>
      </w:r>
      <w:r>
        <w:rPr>
          <w:rFonts w:cs="Calibri"/>
          <w:sz w:val="24"/>
          <w:szCs w:val="24"/>
        </w:rPr>
        <w:t xml:space="preserve">ations, updated study programs, greater retention and recruitment of talented students, links with industry, graduate employability) and the final impact (improved educational quality at undergraduate and graduate levels, cutting-edge research, curricular </w:t>
      </w:r>
      <w:r>
        <w:rPr>
          <w:rFonts w:cs="Calibri"/>
          <w:sz w:val="24"/>
          <w:szCs w:val="24"/>
        </w:rPr>
        <w:t xml:space="preserve">innovation, financial sustainability, recognition in international rankings, positioning as an innovative and globally connected university). </w:t>
      </w:r>
    </w:p>
    <w:p w:rsidR="008B4D7C" w:rsidRDefault="00D829E8">
      <w:pPr>
        <w:widowControl/>
        <w:spacing w:after="120"/>
        <w:jc w:val="both"/>
        <w:rPr>
          <w:rFonts w:cs="Calibri"/>
          <w:sz w:val="24"/>
          <w:szCs w:val="24"/>
        </w:rPr>
      </w:pPr>
      <w:r>
        <w:rPr>
          <w:rFonts w:cs="Calibri"/>
          <w:sz w:val="24"/>
          <w:szCs w:val="24"/>
        </w:rPr>
        <w:t>Prediction is not divination, but projection based on historical data, statistical models and artificial intellig</w:t>
      </w:r>
      <w:r>
        <w:rPr>
          <w:rFonts w:cs="Calibri"/>
          <w:sz w:val="24"/>
          <w:szCs w:val="24"/>
        </w:rPr>
        <w:t>ence algorithms that identify patterns of success and risk. The theoretical proposal also suggests desirable future scenarios, such as the university becoming a node in a smart global network, the educational experience being reimagined on foundations of c</w:t>
      </w:r>
      <w:r>
        <w:rPr>
          <w:rFonts w:cs="Calibri"/>
          <w:sz w:val="24"/>
          <w:szCs w:val="24"/>
        </w:rPr>
        <w:t>ooperation and solidarity, and the evidence generated by alliances influencing fairer and more sustainable public education policies.</w:t>
      </w:r>
    </w:p>
    <w:p w:rsidR="008B4D7C" w:rsidRDefault="00D829E8">
      <w:pPr>
        <w:spacing w:after="120"/>
        <w:jc w:val="both"/>
        <w:rPr>
          <w:rFonts w:cs="Calibri"/>
          <w:sz w:val="24"/>
          <w:szCs w:val="24"/>
        </w:rPr>
      </w:pPr>
      <w:r>
        <w:rPr>
          <w:rFonts w:cs="Calibri"/>
          <w:sz w:val="24"/>
          <w:szCs w:val="24"/>
        </w:rPr>
        <w:t>The ultimate purpose of the theoretical proposal is to contribute to university educational quality understood in a broad sense: not only as compliance with accreditation standards, but as the comprehensive education of competent, ethical professionals com</w:t>
      </w:r>
      <w:r>
        <w:rPr>
          <w:rFonts w:cs="Calibri"/>
          <w:sz w:val="24"/>
          <w:szCs w:val="24"/>
        </w:rPr>
        <w:t>mitted to their context; as the generation of relevant and socially significant knowledge; as effective engagement with productive sectors and communities; and as purposeful internationalization, that is, not as an end in itself but as a means for mutual l</w:t>
      </w:r>
      <w:r>
        <w:rPr>
          <w:rFonts w:cs="Calibri"/>
          <w:sz w:val="24"/>
          <w:szCs w:val="24"/>
        </w:rPr>
        <w:t xml:space="preserve">earning, solidarity and the construction of global public goods. </w:t>
      </w:r>
    </w:p>
    <w:p w:rsidR="008B4D7C" w:rsidRDefault="00D829E8">
      <w:pPr>
        <w:spacing w:after="240"/>
        <w:jc w:val="both"/>
        <w:rPr>
          <w:rFonts w:cs="Calibri"/>
          <w:sz w:val="24"/>
          <w:szCs w:val="24"/>
        </w:rPr>
      </w:pPr>
      <w:r>
        <w:rPr>
          <w:rFonts w:cs="Calibri"/>
          <w:sz w:val="24"/>
          <w:szCs w:val="24"/>
        </w:rPr>
        <w:t xml:space="preserve">This smart diagnosis makes it possible, specifically, to move from reactive and opportunistic management (signing agreements out of opportunity, without strategic planning) to proactive, </w:t>
      </w:r>
      <w:r>
        <w:rPr>
          <w:rFonts w:cs="Calibri"/>
          <w:sz w:val="24"/>
          <w:szCs w:val="24"/>
        </w:rPr>
        <w:t>evidence-based management; to allocate resources (time, money, human effort) to the agreements that really matter for institutional objectives; to account to the university community and accreditation bodies, demonstrating the concrete impact of cooperatio</w:t>
      </w:r>
      <w:r>
        <w:rPr>
          <w:rFonts w:cs="Calibri"/>
          <w:sz w:val="24"/>
          <w:szCs w:val="24"/>
        </w:rPr>
        <w:t>n; to make decisions based on data, not only on intuition or personal relationships; and to reimagine the future of the university through powerful, ethical and transformative alliances.</w:t>
      </w:r>
    </w:p>
    <w:p w:rsidR="008B4D7C" w:rsidRDefault="00D829E8">
      <w:pPr>
        <w:spacing w:after="120"/>
        <w:jc w:val="both"/>
        <w:rPr>
          <w:rFonts w:cs="Calibri"/>
          <w:i/>
          <w:iCs/>
          <w:sz w:val="24"/>
          <w:szCs w:val="24"/>
        </w:rPr>
      </w:pPr>
      <w:r>
        <w:rPr>
          <w:rFonts w:cs="Calibri"/>
          <w:i/>
          <w:iCs/>
          <w:sz w:val="24"/>
          <w:szCs w:val="24"/>
        </w:rPr>
        <w:t>The role of artificial intelligence as a mediator of diagnosis</w:t>
      </w:r>
    </w:p>
    <w:p w:rsidR="008B4D7C" w:rsidRDefault="00D829E8">
      <w:pPr>
        <w:spacing w:after="120"/>
        <w:jc w:val="both"/>
        <w:rPr>
          <w:rFonts w:cs="Calibri"/>
          <w:sz w:val="24"/>
          <w:szCs w:val="24"/>
        </w:rPr>
      </w:pPr>
      <w:r>
        <w:rPr>
          <w:rFonts w:cs="Calibri"/>
          <w:sz w:val="24"/>
          <w:szCs w:val="24"/>
        </w:rPr>
        <w:t>Within</w:t>
      </w:r>
      <w:r>
        <w:rPr>
          <w:rFonts w:cs="Calibri"/>
          <w:sz w:val="24"/>
          <w:szCs w:val="24"/>
        </w:rPr>
        <w:t xml:space="preserve"> the theoretical proposal, artificial intelligence (AI) occupies a central place as a mediating tool in the Vygotskian sense. The aim is not to replace human judgment with algorithms, but to amplify managers' cognitive capacities and to create a space of h</w:t>
      </w:r>
      <w:r>
        <w:rPr>
          <w:rFonts w:cs="Calibri"/>
          <w:sz w:val="24"/>
          <w:szCs w:val="24"/>
        </w:rPr>
        <w:t xml:space="preserve">uman-machine collaboration in </w:t>
      </w:r>
      <w:r>
        <w:rPr>
          <w:rFonts w:cs="Calibri"/>
          <w:sz w:val="24"/>
          <w:szCs w:val="24"/>
        </w:rPr>
        <w:lastRenderedPageBreak/>
        <w:t>which each contributes specific strengths: machines process large volumes of data, identify patterns and generate predictions with a speed and consistency that exceed human capacities; humans contribute contextualization, ethi</w:t>
      </w:r>
      <w:r>
        <w:rPr>
          <w:rFonts w:cs="Calibri"/>
          <w:sz w:val="24"/>
          <w:szCs w:val="24"/>
        </w:rPr>
        <w:t>cal judgment, interpretation of meanings and strategic decision-making in situations of uncertainty and ambiguity.</w:t>
      </w:r>
    </w:p>
    <w:p w:rsidR="008B4D7C" w:rsidRDefault="00D829E8">
      <w:pPr>
        <w:spacing w:after="120"/>
        <w:jc w:val="both"/>
        <w:rPr>
          <w:rFonts w:cs="Calibri"/>
          <w:sz w:val="24"/>
          <w:szCs w:val="24"/>
        </w:rPr>
      </w:pPr>
      <w:r>
        <w:rPr>
          <w:rFonts w:cs="Calibri"/>
          <w:sz w:val="24"/>
          <w:szCs w:val="24"/>
        </w:rPr>
        <w:t xml:space="preserve">Following the </w:t>
      </w:r>
      <w:proofErr w:type="spellStart"/>
      <w:r>
        <w:rPr>
          <w:rFonts w:cs="Calibri"/>
          <w:sz w:val="24"/>
          <w:szCs w:val="24"/>
        </w:rPr>
        <w:t>Organisation</w:t>
      </w:r>
      <w:proofErr w:type="spellEnd"/>
      <w:r>
        <w:rPr>
          <w:rFonts w:cs="Calibri"/>
          <w:sz w:val="24"/>
          <w:szCs w:val="24"/>
        </w:rPr>
        <w:t xml:space="preserve"> for Economic Co-operation and Development (OECD, 2024), AI is understood as that which develops algorithms and met</w:t>
      </w:r>
      <w:r>
        <w:rPr>
          <w:rFonts w:cs="Calibri"/>
          <w:sz w:val="24"/>
          <w:szCs w:val="24"/>
        </w:rPr>
        <w:t>hods that enable a computer system to solve problems intelligently, taking into account the context and the available information in order to achieve the desired goal, with the capacity to learn, reason, plan and diagnose.</w:t>
      </w:r>
    </w:p>
    <w:p w:rsidR="008B4D7C" w:rsidRDefault="00D829E8">
      <w:pPr>
        <w:spacing w:after="120"/>
        <w:jc w:val="both"/>
        <w:rPr>
          <w:rFonts w:cs="Calibri"/>
          <w:sz w:val="24"/>
          <w:szCs w:val="24"/>
        </w:rPr>
      </w:pPr>
      <w:r>
        <w:rPr>
          <w:rFonts w:cs="Calibri"/>
          <w:sz w:val="24"/>
          <w:szCs w:val="24"/>
        </w:rPr>
        <w:t>Particularly relevant to the diag</w:t>
      </w:r>
      <w:r>
        <w:rPr>
          <w:rFonts w:cs="Calibri"/>
          <w:sz w:val="24"/>
          <w:szCs w:val="24"/>
        </w:rPr>
        <w:t>nosis of agreements is machine learning, which automatically extracts underlying knowledge from data (</w:t>
      </w:r>
      <w:proofErr w:type="spellStart"/>
      <w:r>
        <w:rPr>
          <w:rFonts w:cs="Calibri"/>
          <w:sz w:val="24"/>
          <w:szCs w:val="24"/>
        </w:rPr>
        <w:t>Fernández</w:t>
      </w:r>
      <w:proofErr w:type="spellEnd"/>
      <w:r>
        <w:rPr>
          <w:rFonts w:cs="Calibri"/>
          <w:sz w:val="24"/>
          <w:szCs w:val="24"/>
        </w:rPr>
        <w:t>, 2024). Generative AI is also relevant, capable of producing complex content (texts, summaries, reports) that emulates human creation, always un</w:t>
      </w:r>
      <w:r>
        <w:rPr>
          <w:rFonts w:cs="Calibri"/>
          <w:sz w:val="24"/>
          <w:szCs w:val="24"/>
        </w:rPr>
        <w:t>der supervision and verification by experts (European Union, 2024).</w:t>
      </w:r>
    </w:p>
    <w:p w:rsidR="008B4D7C" w:rsidRDefault="00D829E8">
      <w:pPr>
        <w:spacing w:after="120"/>
        <w:jc w:val="both"/>
        <w:rPr>
          <w:rFonts w:cs="Calibri"/>
          <w:sz w:val="24"/>
          <w:szCs w:val="24"/>
        </w:rPr>
      </w:pPr>
      <w:r>
        <w:rPr>
          <w:rFonts w:cs="Calibri"/>
          <w:sz w:val="24"/>
          <w:szCs w:val="24"/>
        </w:rPr>
        <w:t>The concrete applications of AI in the smart diagnosis of agreements are multiple. First, text mining and natural language processing (NLP) make it possible to analyze large volumes of mee</w:t>
      </w:r>
      <w:r>
        <w:rPr>
          <w:rFonts w:cs="Calibri"/>
          <w:sz w:val="24"/>
          <w:szCs w:val="24"/>
        </w:rPr>
        <w:t xml:space="preserve">ting minutes, emails, progress reports and open-ended survey responses, extracting common themes, identifying positive or negative sentiments toward the collaboration, and automatically classifying agreements by risk level, main SDG or predominant type of </w:t>
      </w:r>
      <w:r>
        <w:rPr>
          <w:rFonts w:cs="Calibri"/>
          <w:sz w:val="24"/>
          <w:szCs w:val="24"/>
        </w:rPr>
        <w:t xml:space="preserve">activity. </w:t>
      </w:r>
    </w:p>
    <w:p w:rsidR="008B4D7C" w:rsidRDefault="00D829E8">
      <w:pPr>
        <w:spacing w:after="120"/>
        <w:jc w:val="both"/>
        <w:rPr>
          <w:rFonts w:cs="Calibri"/>
          <w:sz w:val="24"/>
          <w:szCs w:val="24"/>
        </w:rPr>
      </w:pPr>
      <w:r>
        <w:rPr>
          <w:rFonts w:cs="Calibri"/>
          <w:sz w:val="24"/>
          <w:szCs w:val="24"/>
        </w:rPr>
        <w:t>Second, predictive models, based on classification algorithms such as decision trees, random forests, neural networks or Gradient Boosting Machines, can be trained with historical data from previous agreements (type of partner, duration, committ</w:t>
      </w:r>
      <w:r>
        <w:rPr>
          <w:rFonts w:cs="Calibri"/>
          <w:sz w:val="24"/>
          <w:szCs w:val="24"/>
        </w:rPr>
        <w:t>ed resources, bureaucratic complexity, level of implementation, results obtained) to predict which new agreements have a high probability of success (understood as effective contribution to educational quality) and which show warning signs that would requi</w:t>
      </w:r>
      <w:r>
        <w:rPr>
          <w:rFonts w:cs="Calibri"/>
          <w:sz w:val="24"/>
          <w:szCs w:val="24"/>
        </w:rPr>
        <w:t xml:space="preserve">re early intervention. </w:t>
      </w:r>
    </w:p>
    <w:p w:rsidR="008B4D7C" w:rsidRDefault="00D829E8">
      <w:pPr>
        <w:spacing w:after="120"/>
        <w:jc w:val="both"/>
        <w:rPr>
          <w:rFonts w:cs="Calibri"/>
          <w:sz w:val="24"/>
          <w:szCs w:val="24"/>
        </w:rPr>
      </w:pPr>
      <w:r>
        <w:rPr>
          <w:rFonts w:cs="Calibri"/>
          <w:sz w:val="24"/>
          <w:szCs w:val="24"/>
        </w:rPr>
        <w:t>Third, recommendation systems can suggest ideal potential partners for an academic, a faculty or the institution as a whole, based on affinity of research interests, previous publications, ongoing projects and institutional profiles</w:t>
      </w:r>
      <w:r>
        <w:rPr>
          <w:rFonts w:cs="Calibri"/>
          <w:sz w:val="24"/>
          <w:szCs w:val="24"/>
        </w:rPr>
        <w:t>. Fourth, interactive dashboards that integrate business intelligence (BI) and dynamic visualizations make it possible to monitor the health of alliances in real time, with risk traffic lights, heat maps of contribution to the SDGs, collaboration network g</w:t>
      </w:r>
      <w:r>
        <w:rPr>
          <w:rFonts w:cs="Calibri"/>
          <w:sz w:val="24"/>
          <w:szCs w:val="24"/>
        </w:rPr>
        <w:t>raphs and other elements that facilitate strategic decision-making.</w:t>
      </w:r>
    </w:p>
    <w:p w:rsidR="008B4D7C" w:rsidRDefault="00D829E8">
      <w:pPr>
        <w:spacing w:after="120"/>
        <w:jc w:val="both"/>
        <w:rPr>
          <w:rFonts w:cs="Calibri"/>
          <w:sz w:val="24"/>
          <w:szCs w:val="24"/>
        </w:rPr>
      </w:pPr>
      <w:r>
        <w:rPr>
          <w:rFonts w:cs="Calibri"/>
          <w:sz w:val="24"/>
          <w:szCs w:val="24"/>
        </w:rPr>
        <w:t>However, the incorporation of AI into diagnosis also poses ethical and methodological challenges that the theoretical proposal explicitly addresses. The first is the risk of algorithmic bi</w:t>
      </w:r>
      <w:r>
        <w:rPr>
          <w:rFonts w:cs="Calibri"/>
          <w:sz w:val="24"/>
          <w:szCs w:val="24"/>
        </w:rPr>
        <w:t xml:space="preserve">as, since AI models learn from historical data that may contain biases (for example, an overrepresentation of agreements with universities of the Global North and an underrepresentation of South-South alliances). </w:t>
      </w:r>
    </w:p>
    <w:p w:rsidR="008B4D7C" w:rsidRDefault="00D829E8">
      <w:pPr>
        <w:spacing w:after="120"/>
        <w:jc w:val="both"/>
        <w:rPr>
          <w:rFonts w:cs="Calibri"/>
          <w:sz w:val="24"/>
          <w:szCs w:val="24"/>
        </w:rPr>
      </w:pPr>
      <w:r>
        <w:rPr>
          <w:rFonts w:cs="Calibri"/>
          <w:sz w:val="24"/>
          <w:szCs w:val="24"/>
        </w:rPr>
        <w:t xml:space="preserve">If there is no conscious intervention, AI </w:t>
      </w:r>
      <w:r>
        <w:rPr>
          <w:rFonts w:cs="Calibri"/>
          <w:sz w:val="24"/>
          <w:szCs w:val="24"/>
        </w:rPr>
        <w:t xml:space="preserve">could perpetuate or even amplify these biases, always recommending the same types of partners or ignoring valuable opportunities in less privileged </w:t>
      </w:r>
      <w:r>
        <w:rPr>
          <w:rFonts w:cs="Calibri"/>
          <w:sz w:val="24"/>
          <w:szCs w:val="24"/>
        </w:rPr>
        <w:lastRenderedPageBreak/>
        <w:t>contexts (</w:t>
      </w:r>
      <w:proofErr w:type="spellStart"/>
      <w:r>
        <w:rPr>
          <w:rFonts w:cs="Calibri"/>
          <w:sz w:val="24"/>
          <w:szCs w:val="24"/>
        </w:rPr>
        <w:t>Greebon</w:t>
      </w:r>
      <w:proofErr w:type="spellEnd"/>
      <w:r>
        <w:rPr>
          <w:rFonts w:cs="Calibri"/>
          <w:sz w:val="24"/>
          <w:szCs w:val="24"/>
        </w:rPr>
        <w:t>, 2026). The second challenge is the opacity or "black box" nature of some models, which hi</w:t>
      </w:r>
      <w:r>
        <w:rPr>
          <w:rFonts w:cs="Calibri"/>
          <w:sz w:val="24"/>
          <w:szCs w:val="24"/>
        </w:rPr>
        <w:t xml:space="preserve">nders the auditability and </w:t>
      </w:r>
      <w:proofErr w:type="spellStart"/>
      <w:r>
        <w:rPr>
          <w:rFonts w:cs="Calibri"/>
          <w:sz w:val="24"/>
          <w:szCs w:val="24"/>
        </w:rPr>
        <w:t>explainability</w:t>
      </w:r>
      <w:proofErr w:type="spellEnd"/>
      <w:r>
        <w:rPr>
          <w:rFonts w:cs="Calibri"/>
          <w:sz w:val="24"/>
          <w:szCs w:val="24"/>
        </w:rPr>
        <w:t xml:space="preserve"> of predictions. </w:t>
      </w:r>
    </w:p>
    <w:p w:rsidR="008B4D7C" w:rsidRDefault="00D829E8">
      <w:pPr>
        <w:spacing w:after="120"/>
        <w:jc w:val="both"/>
        <w:rPr>
          <w:rFonts w:cs="Calibri"/>
          <w:sz w:val="24"/>
          <w:szCs w:val="24"/>
        </w:rPr>
      </w:pPr>
      <w:r>
        <w:rPr>
          <w:rFonts w:cs="Calibri"/>
          <w:sz w:val="24"/>
          <w:szCs w:val="24"/>
        </w:rPr>
        <w:t>The theoretical proposal, consistent with the principles of the Court of Justice of the European Union (CJEU, 2026), requires that the AI systems used be transparent, interpretable and subject to p</w:t>
      </w:r>
      <w:r>
        <w:rPr>
          <w:rFonts w:cs="Calibri"/>
          <w:sz w:val="24"/>
          <w:szCs w:val="24"/>
        </w:rPr>
        <w:t>ermanent human oversight. The third challenge is dependence on data quality: AI is only as good as the data that feed it. If data on agreements are incomplete, outdated, poorly structured or inconsistent, predictions will be unreliable. Therefore, the impl</w:t>
      </w:r>
      <w:r>
        <w:rPr>
          <w:rFonts w:cs="Calibri"/>
          <w:sz w:val="24"/>
          <w:szCs w:val="24"/>
        </w:rPr>
        <w:t>ementation of smart diagnosis must be accompanied by institutional data management policies that ensure data relevance, reliability, currency and adequate structuring.</w:t>
      </w:r>
    </w:p>
    <w:p w:rsidR="008B4D7C" w:rsidRDefault="00D829E8">
      <w:pPr>
        <w:spacing w:after="240"/>
        <w:jc w:val="both"/>
        <w:rPr>
          <w:rFonts w:cs="Calibri"/>
          <w:sz w:val="24"/>
          <w:szCs w:val="24"/>
        </w:rPr>
      </w:pPr>
      <w:r>
        <w:rPr>
          <w:rFonts w:cs="Calibri"/>
          <w:sz w:val="24"/>
          <w:szCs w:val="24"/>
        </w:rPr>
        <w:t xml:space="preserve">The theoretical proposal also assumes that AI operates under the principles of ethical, </w:t>
      </w:r>
      <w:r>
        <w:rPr>
          <w:rFonts w:cs="Calibri"/>
          <w:sz w:val="24"/>
          <w:szCs w:val="24"/>
        </w:rPr>
        <w:t>human-centered governance. This implies, at a minimum: permanent human oversight in all phases of the diagnosis, without delegating critical judgment to algorithms; inalienable individual responsibility of managers and authorities for decisions made with t</w:t>
      </w:r>
      <w:r>
        <w:rPr>
          <w:rFonts w:cs="Calibri"/>
          <w:sz w:val="24"/>
          <w:szCs w:val="24"/>
        </w:rPr>
        <w:t>he support of AI; a culture of verification of data and algorithmic results; and non-discrimination, ensuring that predictions and recommendations do not reproduce or amplify existing inequalities (CJEU, 2026). In this sense, the theoretical proposal is al</w:t>
      </w:r>
      <w:r>
        <w:rPr>
          <w:rFonts w:cs="Calibri"/>
          <w:sz w:val="24"/>
          <w:szCs w:val="24"/>
        </w:rPr>
        <w:t>igned with international recommendations on AI in education, which emphasize that technology must serve pedagogy, inclusion and the common good, and not the other way around (UNESCO, 2020).</w:t>
      </w:r>
    </w:p>
    <w:p w:rsidR="008B4D7C" w:rsidRDefault="00D829E8">
      <w:pPr>
        <w:spacing w:after="120"/>
        <w:jc w:val="both"/>
        <w:rPr>
          <w:rFonts w:cs="Calibri"/>
          <w:i/>
          <w:iCs/>
          <w:sz w:val="24"/>
          <w:szCs w:val="24"/>
        </w:rPr>
      </w:pPr>
      <w:r>
        <w:rPr>
          <w:rFonts w:cs="Calibri"/>
          <w:i/>
          <w:iCs/>
          <w:sz w:val="24"/>
          <w:szCs w:val="24"/>
        </w:rPr>
        <w:t>Contributions of the theoretical proposal to university educationa</w:t>
      </w:r>
      <w:r>
        <w:rPr>
          <w:rFonts w:cs="Calibri"/>
          <w:i/>
          <w:iCs/>
          <w:sz w:val="24"/>
          <w:szCs w:val="24"/>
        </w:rPr>
        <w:t>l quality</w:t>
      </w:r>
    </w:p>
    <w:p w:rsidR="008B4D7C" w:rsidRDefault="00D829E8">
      <w:pPr>
        <w:spacing w:after="120"/>
        <w:jc w:val="both"/>
        <w:rPr>
          <w:rFonts w:cs="Calibri"/>
          <w:sz w:val="24"/>
          <w:szCs w:val="24"/>
        </w:rPr>
      </w:pPr>
      <w:r>
        <w:rPr>
          <w:rFonts w:cs="Calibri"/>
          <w:sz w:val="24"/>
          <w:szCs w:val="24"/>
        </w:rPr>
        <w:t>The theoretical proposal for smart diagnosis described here is not an academic exercise detached from institutional reality, but a tool conceived to produce concrete transformations in agreement management and, through it, in university education</w:t>
      </w:r>
      <w:r>
        <w:rPr>
          <w:rFonts w:cs="Calibri"/>
          <w:sz w:val="24"/>
          <w:szCs w:val="24"/>
        </w:rPr>
        <w:t>al quality. Its main contributions can be summarized in five dimensions.</w:t>
      </w:r>
    </w:p>
    <w:p w:rsidR="008B4D7C" w:rsidRDefault="00D829E8">
      <w:pPr>
        <w:spacing w:after="120"/>
        <w:jc w:val="both"/>
        <w:rPr>
          <w:rFonts w:cs="Calibri"/>
          <w:sz w:val="24"/>
          <w:szCs w:val="24"/>
        </w:rPr>
      </w:pPr>
      <w:r>
        <w:rPr>
          <w:rFonts w:cs="Calibri"/>
          <w:sz w:val="24"/>
          <w:szCs w:val="24"/>
        </w:rPr>
        <w:t xml:space="preserve">First, the theoretical proposal makes it possible to strategically align agreement management with the institution's mission, vision and objectives. By incorporating the university's </w:t>
      </w:r>
      <w:r>
        <w:rPr>
          <w:rFonts w:cs="Calibri"/>
          <w:sz w:val="24"/>
          <w:szCs w:val="24"/>
        </w:rPr>
        <w:t>guiding framework as the axis of the SWOT analysis and the evaluation of collaboration, diagnosis ceases to be a generic exercise and becomes a lever for fulfilling the institutional educational project. Agreements that do not contribute to strategic objec</w:t>
      </w:r>
      <w:r>
        <w:rPr>
          <w:rFonts w:cs="Calibri"/>
          <w:sz w:val="24"/>
          <w:szCs w:val="24"/>
        </w:rPr>
        <w:t>tives are identified as misaligned and can be redirected, suspended or not renewed, freeing up resources for more relevant alliances.</w:t>
      </w:r>
    </w:p>
    <w:p w:rsidR="008B4D7C" w:rsidRDefault="00D829E8">
      <w:pPr>
        <w:spacing w:after="120"/>
        <w:jc w:val="both"/>
        <w:rPr>
          <w:rFonts w:cs="Calibri"/>
          <w:sz w:val="24"/>
          <w:szCs w:val="24"/>
        </w:rPr>
      </w:pPr>
      <w:r>
        <w:rPr>
          <w:rFonts w:cs="Calibri"/>
          <w:sz w:val="24"/>
          <w:szCs w:val="24"/>
        </w:rPr>
        <w:t>Second, the theoretical proposal introduces a culture of data- and evidence-based management, overcoming intuition, person</w:t>
      </w:r>
      <w:r>
        <w:rPr>
          <w:rFonts w:cs="Calibri"/>
          <w:sz w:val="24"/>
          <w:szCs w:val="24"/>
        </w:rPr>
        <w:t>al relationships or improvisation as the main criteria for decision-making. Performance indicators, interactive dashboards, risk predictions and algorithmic recommendations provide an objective and systematic basis for deciding which agreements to prioriti</w:t>
      </w:r>
      <w:r>
        <w:rPr>
          <w:rFonts w:cs="Calibri"/>
          <w:sz w:val="24"/>
          <w:szCs w:val="24"/>
        </w:rPr>
        <w:t>ze, which partners to seek, which resources to allocate and which corrective actions to implement.</w:t>
      </w:r>
    </w:p>
    <w:p w:rsidR="008B4D7C" w:rsidRDefault="00D829E8">
      <w:pPr>
        <w:spacing w:after="120"/>
        <w:jc w:val="both"/>
        <w:rPr>
          <w:rFonts w:cs="Calibri"/>
          <w:sz w:val="24"/>
          <w:szCs w:val="24"/>
        </w:rPr>
      </w:pPr>
      <w:r>
        <w:rPr>
          <w:rFonts w:cs="Calibri"/>
          <w:sz w:val="24"/>
          <w:szCs w:val="24"/>
        </w:rPr>
        <w:lastRenderedPageBreak/>
        <w:t>Third, the theoretical proposal strengthens the predictive and anticipatory capacity of agreement management. The early identification of agreements with war</w:t>
      </w:r>
      <w:r>
        <w:rPr>
          <w:rFonts w:cs="Calibri"/>
          <w:sz w:val="24"/>
          <w:szCs w:val="24"/>
        </w:rPr>
        <w:t>ning signs, low implementation, failure to meet goals, latent conflicts, changes in the environment, makes it possible to intervene in a timely manner, before problems worsen. Likewise, predicting the transformation potential of each agreement helps select</w:t>
      </w:r>
      <w:r>
        <w:rPr>
          <w:rFonts w:cs="Calibri"/>
          <w:sz w:val="24"/>
          <w:szCs w:val="24"/>
        </w:rPr>
        <w:t xml:space="preserve"> those alliances that can generate the greatest added value for educational quality, optimizing the investment of scarce resources.</w:t>
      </w:r>
    </w:p>
    <w:p w:rsidR="008B4D7C" w:rsidRDefault="00D829E8">
      <w:pPr>
        <w:spacing w:after="120"/>
        <w:jc w:val="both"/>
        <w:rPr>
          <w:rFonts w:cs="Calibri"/>
          <w:sz w:val="24"/>
          <w:szCs w:val="24"/>
        </w:rPr>
      </w:pPr>
      <w:r>
        <w:rPr>
          <w:rFonts w:cs="Calibri"/>
          <w:sz w:val="24"/>
          <w:szCs w:val="24"/>
        </w:rPr>
        <w:t xml:space="preserve">Fourth, the theoretical proposal makes visible and strengthens the social and ethical dimension of </w:t>
      </w:r>
      <w:proofErr w:type="spellStart"/>
      <w:r>
        <w:rPr>
          <w:rFonts w:cs="Calibri"/>
          <w:sz w:val="24"/>
          <w:szCs w:val="24"/>
        </w:rPr>
        <w:t>interinstitutional</w:t>
      </w:r>
      <w:proofErr w:type="spellEnd"/>
      <w:r>
        <w:rPr>
          <w:rFonts w:cs="Calibri"/>
          <w:sz w:val="24"/>
          <w:szCs w:val="24"/>
        </w:rPr>
        <w:t xml:space="preserve"> cooper</w:t>
      </w:r>
      <w:r>
        <w:rPr>
          <w:rFonts w:cs="Calibri"/>
          <w:sz w:val="24"/>
          <w:szCs w:val="24"/>
        </w:rPr>
        <w:t>ation. By incorporating the SDGs, UNESCO's new social contract and the principles of university social responsibility, diagnosis asks not only about the efficiency of agreements but about their contribution to equity, inclusion, social justice and sustaina</w:t>
      </w:r>
      <w:r>
        <w:rPr>
          <w:rFonts w:cs="Calibri"/>
          <w:sz w:val="24"/>
          <w:szCs w:val="24"/>
        </w:rPr>
        <w:t>ble development. This is particularly relevant in contexts such as the Dominican one, where gaps in access, territorial inequalities and environmental challenges demand an active commitment from universities.</w:t>
      </w:r>
    </w:p>
    <w:p w:rsidR="008B4D7C" w:rsidRDefault="00D829E8">
      <w:pPr>
        <w:spacing w:after="240"/>
        <w:ind w:right="51"/>
        <w:jc w:val="both"/>
        <w:rPr>
          <w:rFonts w:cs="Calibri"/>
          <w:sz w:val="24"/>
          <w:szCs w:val="24"/>
        </w:rPr>
      </w:pPr>
      <w:r>
        <w:rPr>
          <w:rFonts w:cs="Calibri"/>
          <w:sz w:val="24"/>
          <w:szCs w:val="24"/>
        </w:rPr>
        <w:t>Fifth, the theoretical proposal promotes instit</w:t>
      </w:r>
      <w:r>
        <w:rPr>
          <w:rFonts w:cs="Calibri"/>
          <w:sz w:val="24"/>
          <w:szCs w:val="24"/>
        </w:rPr>
        <w:t>utional learning and continuous improvement; diagnosis is not a one-off event but a recursive process that is fed by the results of implementation and evaluation. The data generated by the smart diagnosis system feed into strategic planning cycles, accredi</w:t>
      </w:r>
      <w:r>
        <w:rPr>
          <w:rFonts w:cs="Calibri"/>
          <w:sz w:val="24"/>
          <w:szCs w:val="24"/>
        </w:rPr>
        <w:t>tation processes and quality assurance systems, creating a virtuous circle of reflection, action and improvement. In addition, the use of AI tools and the associated training develop digital and analytical competencies in managers, strengthening the instit</w:t>
      </w:r>
      <w:r>
        <w:rPr>
          <w:rFonts w:cs="Calibri"/>
          <w:sz w:val="24"/>
          <w:szCs w:val="24"/>
        </w:rPr>
        <w:t>ution's human capital.</w:t>
      </w:r>
    </w:p>
    <w:p w:rsidR="008B4D7C" w:rsidRDefault="00D829E8">
      <w:pPr>
        <w:spacing w:after="120"/>
        <w:ind w:right="50"/>
        <w:jc w:val="both"/>
        <w:rPr>
          <w:rFonts w:cs="Calibri"/>
          <w:b/>
          <w:sz w:val="24"/>
          <w:szCs w:val="24"/>
        </w:rPr>
      </w:pPr>
      <w:r>
        <w:rPr>
          <w:rFonts w:eastAsia="Arial" w:cs="Calibri"/>
          <w:b/>
          <w:bCs/>
          <w:sz w:val="24"/>
          <w:szCs w:val="24"/>
        </w:rPr>
        <w:t>Conclusions</w:t>
      </w:r>
    </w:p>
    <w:p w:rsidR="008B4D7C" w:rsidRDefault="00D829E8">
      <w:pPr>
        <w:spacing w:after="120"/>
        <w:jc w:val="both"/>
        <w:rPr>
          <w:rFonts w:cs="Calibri"/>
          <w:sz w:val="24"/>
          <w:szCs w:val="24"/>
        </w:rPr>
      </w:pPr>
      <w:r>
        <w:rPr>
          <w:rFonts w:cs="Calibri"/>
          <w:sz w:val="24"/>
          <w:szCs w:val="24"/>
        </w:rPr>
        <w:t>The epistemological characterization developed made it possible to establish a solid and coherent theoretical framework for the research, grounded in the integration of the systemic-structural approach, Vygotsky's cultura</w:t>
      </w:r>
      <w:r>
        <w:rPr>
          <w:rFonts w:cs="Calibri"/>
          <w:sz w:val="24"/>
          <w:szCs w:val="24"/>
        </w:rPr>
        <w:t>l-historical theory, and a set of theoretical frameworks drawn from cooperation theory, strategic management, educational quality and the study of the global environment. This framework is not a superficial eclecticism but a dialectical synthesis that reco</w:t>
      </w:r>
      <w:r>
        <w:rPr>
          <w:rFonts w:cs="Calibri"/>
          <w:sz w:val="24"/>
          <w:szCs w:val="24"/>
        </w:rPr>
        <w:t>gnizes the complexity of the object of study and offers powerful categories for its analysis.</w:t>
      </w:r>
    </w:p>
    <w:p w:rsidR="008B4D7C" w:rsidRDefault="00D829E8">
      <w:pPr>
        <w:spacing w:after="120"/>
        <w:jc w:val="both"/>
        <w:rPr>
          <w:rFonts w:cs="Calibri"/>
          <w:sz w:val="24"/>
          <w:szCs w:val="24"/>
        </w:rPr>
      </w:pPr>
      <w:proofErr w:type="spellStart"/>
      <w:r>
        <w:rPr>
          <w:rFonts w:cs="Calibri"/>
          <w:sz w:val="24"/>
          <w:szCs w:val="24"/>
        </w:rPr>
        <w:t>Interinstitutional</w:t>
      </w:r>
      <w:proofErr w:type="spellEnd"/>
      <w:r>
        <w:rPr>
          <w:rFonts w:cs="Calibri"/>
          <w:sz w:val="24"/>
          <w:szCs w:val="24"/>
        </w:rPr>
        <w:t xml:space="preserve"> agreement management has been defined as a systemic and strategic process, oriented to university educational quality, that integrates structur</w:t>
      </w:r>
      <w:r>
        <w:rPr>
          <w:rFonts w:cs="Calibri"/>
          <w:sz w:val="24"/>
          <w:szCs w:val="24"/>
        </w:rPr>
        <w:t>al, functional, relational, temporal and technological dimensions. Smart diagnosis has been defined as a process that articulates knowledge representation, intelligent prediction and assessment for decision-making, mediated by artificial intelligence tools</w:t>
      </w:r>
      <w:r>
        <w:rPr>
          <w:rFonts w:cs="Calibri"/>
          <w:sz w:val="24"/>
          <w:szCs w:val="24"/>
        </w:rPr>
        <w:t xml:space="preserve">. </w:t>
      </w:r>
    </w:p>
    <w:p w:rsidR="008B4D7C" w:rsidRDefault="00D829E8">
      <w:pPr>
        <w:spacing w:after="120"/>
        <w:jc w:val="both"/>
        <w:rPr>
          <w:rFonts w:cs="Calibri"/>
          <w:sz w:val="24"/>
          <w:szCs w:val="24"/>
        </w:rPr>
      </w:pPr>
      <w:r>
        <w:rPr>
          <w:rFonts w:cs="Calibri"/>
          <w:sz w:val="24"/>
          <w:szCs w:val="24"/>
        </w:rPr>
        <w:t>A theoretical proposal structured in three phases was achieved, SWOT+ contextual analysis, assessment of collaboration and prediction of transformation, which operate in an integrated and recursive manner.</w:t>
      </w:r>
    </w:p>
    <w:p w:rsidR="008B4D7C" w:rsidRDefault="00D829E8">
      <w:pPr>
        <w:widowControl/>
        <w:spacing w:after="120"/>
        <w:jc w:val="both"/>
        <w:rPr>
          <w:rFonts w:cs="Calibri"/>
          <w:sz w:val="24"/>
          <w:szCs w:val="24"/>
        </w:rPr>
      </w:pPr>
      <w:r>
        <w:rPr>
          <w:rFonts w:cs="Calibri"/>
          <w:sz w:val="24"/>
          <w:szCs w:val="24"/>
        </w:rPr>
        <w:lastRenderedPageBreak/>
        <w:t>The incorporation of Vygotsky's ideas has prove</w:t>
      </w:r>
      <w:r>
        <w:rPr>
          <w:rFonts w:cs="Calibri"/>
          <w:sz w:val="24"/>
          <w:szCs w:val="24"/>
        </w:rPr>
        <w:t>n particularly fruitful, as it makes it possible to conceive smart diagnosis not as a mere technical application but as a complex social practice, mediated by instruments and signs, which develops in the zone of proximal development of managers and institu</w:t>
      </w:r>
      <w:r>
        <w:rPr>
          <w:rFonts w:cs="Calibri"/>
          <w:sz w:val="24"/>
          <w:szCs w:val="24"/>
        </w:rPr>
        <w:t>tions, and which is internalized as a stable competence and organizational culture. Artificial intelligence, from this perspective, is not a substitute for human judgment but a powerful mediator that amplifies cognitive capacities and transforms management</w:t>
      </w:r>
      <w:r>
        <w:rPr>
          <w:rFonts w:cs="Calibri"/>
          <w:sz w:val="24"/>
          <w:szCs w:val="24"/>
        </w:rPr>
        <w:t xml:space="preserve"> practices.</w:t>
      </w:r>
    </w:p>
    <w:p w:rsidR="008B4D7C" w:rsidRDefault="00D829E8">
      <w:pPr>
        <w:spacing w:after="120"/>
        <w:jc w:val="both"/>
        <w:rPr>
          <w:rFonts w:cs="Calibri"/>
          <w:sz w:val="24"/>
          <w:szCs w:val="24"/>
        </w:rPr>
      </w:pPr>
      <w:r>
        <w:rPr>
          <w:rFonts w:cs="Calibri"/>
          <w:sz w:val="24"/>
          <w:szCs w:val="24"/>
        </w:rPr>
        <w:t>The integrated theoretical frameworks, Network Theory, Stakeholder Theory, Knowledge Management, Quality Models, Theory of Change, Sustainable Development Theory, University Social Responsibility, Agency Theory and risk management approaches in</w:t>
      </w:r>
      <w:r>
        <w:rPr>
          <w:rFonts w:cs="Calibri"/>
          <w:sz w:val="24"/>
          <w:szCs w:val="24"/>
        </w:rPr>
        <w:t xml:space="preserve"> VUCA environments, provide the analytical categories needed to give the theoretical proposal conceptual depth and social relevance. Each of these frameworks contributes a specific lens that, taken together, allows a multidimensional understanding of the p</w:t>
      </w:r>
      <w:r>
        <w:rPr>
          <w:rFonts w:cs="Calibri"/>
          <w:sz w:val="24"/>
          <w:szCs w:val="24"/>
        </w:rPr>
        <w:t>henomenon.</w:t>
      </w:r>
    </w:p>
    <w:p w:rsidR="008B4D7C" w:rsidRDefault="00D829E8">
      <w:pPr>
        <w:spacing w:after="120"/>
        <w:jc w:val="both"/>
        <w:rPr>
          <w:rFonts w:cs="Calibri"/>
          <w:sz w:val="24"/>
          <w:szCs w:val="24"/>
        </w:rPr>
      </w:pPr>
      <w:r>
        <w:rPr>
          <w:rFonts w:cs="Calibri"/>
          <w:sz w:val="24"/>
          <w:szCs w:val="24"/>
        </w:rPr>
        <w:t>The characterization presented here does not exhaust the theoretical work but opens it up. In subsequent studies, this theoretical framework will be contrasted with the empirical reality of the Catholic University of Santo Domingo through a diag</w:t>
      </w:r>
      <w:r>
        <w:rPr>
          <w:rFonts w:cs="Calibri"/>
          <w:sz w:val="24"/>
          <w:szCs w:val="24"/>
        </w:rPr>
        <w:t>nosis of the current state of agreement management. Subsequently, the methodological guidelines for implementing the theoretical proposal will be developed, and the software engineering design for its deployment in a web environment will be presented.</w:t>
      </w:r>
    </w:p>
    <w:p w:rsidR="008B4D7C" w:rsidRDefault="00D829E8">
      <w:pPr>
        <w:spacing w:after="480"/>
        <w:jc w:val="both"/>
        <w:rPr>
          <w:rFonts w:cs="Calibri"/>
          <w:sz w:val="24"/>
          <w:szCs w:val="24"/>
        </w:rPr>
      </w:pPr>
      <w:r>
        <w:rPr>
          <w:rFonts w:cs="Calibri"/>
          <w:sz w:val="24"/>
          <w:szCs w:val="24"/>
        </w:rPr>
        <w:t>What</w:t>
      </w:r>
      <w:r>
        <w:rPr>
          <w:rFonts w:cs="Calibri"/>
          <w:sz w:val="24"/>
          <w:szCs w:val="24"/>
        </w:rPr>
        <w:t xml:space="preserve"> is established, by way of conclusion, is that the management of </w:t>
      </w:r>
      <w:proofErr w:type="spellStart"/>
      <w:r>
        <w:rPr>
          <w:rFonts w:cs="Calibri"/>
          <w:sz w:val="24"/>
          <w:szCs w:val="24"/>
        </w:rPr>
        <w:t>interinstitutional</w:t>
      </w:r>
      <w:proofErr w:type="spellEnd"/>
      <w:r>
        <w:rPr>
          <w:rFonts w:cs="Calibri"/>
          <w:sz w:val="24"/>
          <w:szCs w:val="24"/>
        </w:rPr>
        <w:t xml:space="preserve"> agreements, when approached from a systemic, dialectical and prospective perspective, and when supported by a smart diagnosis mediated by AI, ceases to be a peripheral admi</w:t>
      </w:r>
      <w:r>
        <w:rPr>
          <w:rFonts w:cs="Calibri"/>
          <w:sz w:val="24"/>
          <w:szCs w:val="24"/>
        </w:rPr>
        <w:t>nistrative process and becomes a strategic engine of university educational quality and social transformation. This is the main theoretical contribution that the research aims to demonstrate and validate.</w:t>
      </w:r>
    </w:p>
    <w:p w:rsidR="008B4D7C" w:rsidRDefault="00D829E8">
      <w:pPr>
        <w:spacing w:after="120"/>
        <w:ind w:right="50"/>
        <w:jc w:val="both"/>
        <w:rPr>
          <w:rFonts w:cs="Calibri"/>
          <w:b/>
          <w:sz w:val="24"/>
          <w:szCs w:val="24"/>
          <w:lang w:val="es-ES_tradnl"/>
        </w:rPr>
      </w:pPr>
      <w:proofErr w:type="spellStart"/>
      <w:r>
        <w:rPr>
          <w:rFonts w:eastAsia="Arial" w:cs="Calibri"/>
          <w:b/>
          <w:bCs/>
          <w:sz w:val="24"/>
          <w:szCs w:val="24"/>
          <w:lang w:val="es-ES_tradnl"/>
        </w:rPr>
        <w:t>Referenc</w:t>
      </w:r>
      <w:proofErr w:type="spellEnd"/>
      <w:r w:rsidRPr="00394907">
        <w:rPr>
          <w:rFonts w:eastAsia="Arial" w:cs="Calibri"/>
          <w:b/>
          <w:bCs/>
          <w:sz w:val="24"/>
          <w:szCs w:val="24"/>
          <w:lang w:val="es-ES"/>
        </w:rPr>
        <w:t xml:space="preserve">es </w:t>
      </w:r>
    </w:p>
    <w:p w:rsidR="008B4D7C" w:rsidRDefault="00D829E8">
      <w:pPr>
        <w:spacing w:after="120"/>
        <w:ind w:left="851" w:hanging="851"/>
        <w:jc w:val="both"/>
        <w:rPr>
          <w:rFonts w:cs="Calibri"/>
          <w:sz w:val="24"/>
          <w:szCs w:val="24"/>
          <w:lang w:val="es-ES"/>
        </w:rPr>
      </w:pPr>
      <w:bookmarkStart w:id="1" w:name="_Hlk208191450"/>
      <w:r>
        <w:rPr>
          <w:rFonts w:cs="Calibri"/>
          <w:sz w:val="24"/>
          <w:szCs w:val="24"/>
          <w:lang w:val="es-ES"/>
        </w:rPr>
        <w:t xml:space="preserve">Abreu, J; Rubio, I; Martínez, M. (2019). Hacia el fortalecimiento de relaciones interinstitucionales para la cooperación y el desarrollo de la gestión universitaria. </w:t>
      </w:r>
      <w:r>
        <w:rPr>
          <w:rFonts w:cs="Calibri"/>
          <w:i/>
          <w:iCs/>
          <w:sz w:val="24"/>
          <w:szCs w:val="24"/>
          <w:lang w:val="es-ES"/>
        </w:rPr>
        <w:t xml:space="preserve">REDIPE, </w:t>
      </w:r>
      <w:r>
        <w:rPr>
          <w:rFonts w:cs="Calibri"/>
          <w:i/>
          <w:sz w:val="24"/>
          <w:szCs w:val="24"/>
          <w:lang w:val="es-ES"/>
        </w:rPr>
        <w:t>8</w:t>
      </w:r>
      <w:r>
        <w:rPr>
          <w:rFonts w:cs="Calibri"/>
          <w:sz w:val="24"/>
          <w:szCs w:val="24"/>
          <w:lang w:val="es-ES"/>
        </w:rPr>
        <w:t xml:space="preserve">(3):96-105. </w:t>
      </w:r>
      <w:hyperlink r:id="rId10" w:history="1">
        <w:r>
          <w:rPr>
            <w:rStyle w:val="Hipervnculo"/>
            <w:rFonts w:cs="Calibri"/>
            <w:sz w:val="24"/>
            <w:szCs w:val="24"/>
            <w:lang w:val="es-ES"/>
          </w:rPr>
          <w:t>https://revista.redipe.org/index.php/1/article/view/697</w:t>
        </w:r>
      </w:hyperlink>
    </w:p>
    <w:p w:rsidR="008B4D7C" w:rsidRDefault="00D829E8">
      <w:pPr>
        <w:spacing w:after="120"/>
        <w:ind w:left="851" w:hanging="851"/>
        <w:jc w:val="both"/>
        <w:rPr>
          <w:rFonts w:cs="Calibri"/>
          <w:sz w:val="24"/>
          <w:szCs w:val="24"/>
          <w:lang w:val="es-ES"/>
        </w:rPr>
      </w:pPr>
      <w:r>
        <w:rPr>
          <w:rFonts w:cs="Calibri"/>
          <w:sz w:val="24"/>
          <w:szCs w:val="24"/>
          <w:lang w:val="es-ES"/>
        </w:rPr>
        <w:t xml:space="preserve">Aguilar, L. E. (2013). Políticas de </w:t>
      </w:r>
      <w:proofErr w:type="spellStart"/>
      <w:r>
        <w:rPr>
          <w:rFonts w:cs="Calibri"/>
          <w:sz w:val="24"/>
          <w:szCs w:val="24"/>
          <w:lang w:val="es-ES"/>
        </w:rPr>
        <w:t>cooperação</w:t>
      </w:r>
      <w:proofErr w:type="spellEnd"/>
      <w:r>
        <w:rPr>
          <w:rFonts w:cs="Calibri"/>
          <w:sz w:val="24"/>
          <w:szCs w:val="24"/>
          <w:lang w:val="es-ES"/>
        </w:rPr>
        <w:t xml:space="preserve"> interinstitucional e </w:t>
      </w:r>
      <w:proofErr w:type="spellStart"/>
      <w:r>
        <w:rPr>
          <w:rFonts w:cs="Calibri"/>
          <w:sz w:val="24"/>
          <w:szCs w:val="24"/>
          <w:lang w:val="es-ES"/>
        </w:rPr>
        <w:t>seus</w:t>
      </w:r>
      <w:proofErr w:type="spellEnd"/>
      <w:r>
        <w:rPr>
          <w:rFonts w:cs="Calibri"/>
          <w:sz w:val="24"/>
          <w:szCs w:val="24"/>
          <w:lang w:val="es-ES"/>
        </w:rPr>
        <w:t xml:space="preserve"> impactos no </w:t>
      </w:r>
      <w:proofErr w:type="spellStart"/>
      <w:r>
        <w:rPr>
          <w:rFonts w:cs="Calibri"/>
          <w:sz w:val="24"/>
          <w:szCs w:val="24"/>
          <w:lang w:val="es-ES"/>
        </w:rPr>
        <w:t>desenvolvimento</w:t>
      </w:r>
      <w:proofErr w:type="spellEnd"/>
      <w:r>
        <w:rPr>
          <w:rFonts w:cs="Calibri"/>
          <w:sz w:val="24"/>
          <w:szCs w:val="24"/>
          <w:lang w:val="es-ES"/>
        </w:rPr>
        <w:t xml:space="preserve"> e </w:t>
      </w:r>
      <w:proofErr w:type="spellStart"/>
      <w:r>
        <w:rPr>
          <w:rFonts w:cs="Calibri"/>
          <w:sz w:val="24"/>
          <w:szCs w:val="24"/>
          <w:lang w:val="es-ES"/>
        </w:rPr>
        <w:t>consolidação</w:t>
      </w:r>
      <w:proofErr w:type="spellEnd"/>
      <w:r>
        <w:rPr>
          <w:rFonts w:cs="Calibri"/>
          <w:sz w:val="24"/>
          <w:szCs w:val="24"/>
          <w:lang w:val="es-ES"/>
        </w:rPr>
        <w:t xml:space="preserve"> da </w:t>
      </w:r>
      <w:proofErr w:type="spellStart"/>
      <w:r>
        <w:rPr>
          <w:rFonts w:cs="Calibri"/>
          <w:sz w:val="24"/>
          <w:szCs w:val="24"/>
          <w:lang w:val="es-ES"/>
        </w:rPr>
        <w:t>pós-graduação</w:t>
      </w:r>
      <w:proofErr w:type="spellEnd"/>
      <w:r>
        <w:rPr>
          <w:rFonts w:cs="Calibri"/>
          <w:sz w:val="24"/>
          <w:szCs w:val="24"/>
          <w:lang w:val="es-ES"/>
        </w:rPr>
        <w:t xml:space="preserve">. </w:t>
      </w:r>
      <w:proofErr w:type="spellStart"/>
      <w:r>
        <w:rPr>
          <w:rFonts w:cs="Calibri"/>
          <w:i/>
          <w:iCs/>
          <w:sz w:val="24"/>
          <w:szCs w:val="24"/>
          <w:lang w:val="es-ES"/>
        </w:rPr>
        <w:t>Educação</w:t>
      </w:r>
      <w:proofErr w:type="spellEnd"/>
      <w:r>
        <w:rPr>
          <w:rFonts w:cs="Calibri"/>
          <w:i/>
          <w:iCs/>
          <w:sz w:val="24"/>
          <w:szCs w:val="24"/>
          <w:lang w:val="es-ES"/>
        </w:rPr>
        <w:t xml:space="preserve"> </w:t>
      </w:r>
      <w:proofErr w:type="spellStart"/>
      <w:r>
        <w:rPr>
          <w:rFonts w:cs="Calibri"/>
          <w:i/>
          <w:iCs/>
          <w:sz w:val="24"/>
          <w:szCs w:val="24"/>
          <w:lang w:val="es-ES"/>
        </w:rPr>
        <w:t>Unisinos</w:t>
      </w:r>
      <w:proofErr w:type="spellEnd"/>
      <w:r>
        <w:rPr>
          <w:rFonts w:cs="Calibri"/>
          <w:i/>
          <w:iCs/>
          <w:sz w:val="24"/>
          <w:szCs w:val="24"/>
          <w:lang w:val="es-ES"/>
        </w:rPr>
        <w:t>, 17</w:t>
      </w:r>
      <w:r>
        <w:rPr>
          <w:rFonts w:cs="Calibri"/>
          <w:sz w:val="24"/>
          <w:szCs w:val="24"/>
          <w:lang w:val="es-ES"/>
        </w:rPr>
        <w:t xml:space="preserve">, 178-183. </w:t>
      </w:r>
      <w:hyperlink r:id="rId11" w:history="1">
        <w:r>
          <w:rPr>
            <w:rStyle w:val="Hipervnculo"/>
            <w:rFonts w:cs="Calibri"/>
            <w:sz w:val="24"/>
            <w:szCs w:val="24"/>
            <w:lang w:val="es-ES"/>
          </w:rPr>
          <w:t>https://doi.org/10.4013/EDU.2013.173.01</w:t>
        </w:r>
      </w:hyperlink>
      <w:r>
        <w:rPr>
          <w:rFonts w:cs="Calibri"/>
          <w:sz w:val="24"/>
          <w:szCs w:val="24"/>
          <w:lang w:val="es-ES"/>
        </w:rPr>
        <w:t xml:space="preserve"> </w:t>
      </w:r>
    </w:p>
    <w:p w:rsidR="008B4D7C" w:rsidRDefault="00D829E8">
      <w:pPr>
        <w:spacing w:after="120"/>
        <w:ind w:left="851" w:hanging="851"/>
        <w:jc w:val="both"/>
        <w:rPr>
          <w:rFonts w:cs="Calibri"/>
          <w:sz w:val="24"/>
          <w:szCs w:val="24"/>
        </w:rPr>
      </w:pPr>
      <w:proofErr w:type="spellStart"/>
      <w:r>
        <w:rPr>
          <w:rFonts w:cs="Calibri"/>
          <w:sz w:val="24"/>
          <w:szCs w:val="24"/>
          <w:lang w:val="es-ES"/>
        </w:rPr>
        <w:t>Algañaraz</w:t>
      </w:r>
      <w:proofErr w:type="spellEnd"/>
      <w:r>
        <w:rPr>
          <w:rFonts w:cs="Calibri"/>
          <w:sz w:val="24"/>
          <w:szCs w:val="24"/>
          <w:lang w:val="es-ES"/>
        </w:rPr>
        <w:t xml:space="preserve">, V., Prado, F., &amp; </w:t>
      </w:r>
      <w:proofErr w:type="spellStart"/>
      <w:r>
        <w:rPr>
          <w:rFonts w:cs="Calibri"/>
          <w:sz w:val="24"/>
          <w:szCs w:val="24"/>
          <w:lang w:val="es-ES"/>
        </w:rPr>
        <w:t>Rossomando</w:t>
      </w:r>
      <w:proofErr w:type="spellEnd"/>
      <w:r>
        <w:rPr>
          <w:rFonts w:cs="Calibri"/>
          <w:sz w:val="24"/>
          <w:szCs w:val="24"/>
          <w:lang w:val="es-ES"/>
        </w:rPr>
        <w:t xml:space="preserve">, M. P. (2023). </w:t>
      </w:r>
      <w:r>
        <w:rPr>
          <w:rFonts w:cs="Calibri"/>
          <w:sz w:val="24"/>
          <w:szCs w:val="24"/>
        </w:rPr>
        <w:t xml:space="preserve">Indicators of research circulation: Localization and internationalization under scrutiny—The </w:t>
      </w:r>
      <w:proofErr w:type="spellStart"/>
      <w:r>
        <w:rPr>
          <w:rFonts w:cs="Calibri"/>
          <w:sz w:val="24"/>
          <w:szCs w:val="24"/>
        </w:rPr>
        <w:t>Cuyo</w:t>
      </w:r>
      <w:proofErr w:type="spellEnd"/>
      <w:r>
        <w:rPr>
          <w:rFonts w:cs="Calibri"/>
          <w:sz w:val="24"/>
          <w:szCs w:val="24"/>
        </w:rPr>
        <w:t xml:space="preserve"> Manual and its exploratory case study </w:t>
      </w:r>
      <w:r>
        <w:rPr>
          <w:rFonts w:cs="Calibri"/>
          <w:sz w:val="24"/>
          <w:szCs w:val="24"/>
        </w:rPr>
        <w:t xml:space="preserve">in Argentina. </w:t>
      </w:r>
      <w:r>
        <w:rPr>
          <w:rFonts w:cs="Calibri"/>
          <w:i/>
          <w:iCs/>
          <w:sz w:val="24"/>
          <w:szCs w:val="24"/>
        </w:rPr>
        <w:t>Quantitative Science Studies, 4</w:t>
      </w:r>
      <w:r>
        <w:rPr>
          <w:rFonts w:cs="Calibri"/>
          <w:sz w:val="24"/>
          <w:szCs w:val="24"/>
        </w:rPr>
        <w:t xml:space="preserve">, 283-305. </w:t>
      </w:r>
      <w:hyperlink r:id="rId12" w:history="1">
        <w:r>
          <w:rPr>
            <w:rStyle w:val="Hipervnculo"/>
            <w:rFonts w:cs="Calibri"/>
            <w:sz w:val="24"/>
            <w:szCs w:val="24"/>
          </w:rPr>
          <w:t>https://doi.org/10.1162/qss_a_00229</w:t>
        </w:r>
      </w:hyperlink>
      <w:r>
        <w:rPr>
          <w:rFonts w:cs="Calibri"/>
          <w:sz w:val="24"/>
          <w:szCs w:val="24"/>
        </w:rPr>
        <w:t xml:space="preserve"> </w:t>
      </w:r>
    </w:p>
    <w:p w:rsidR="008B4D7C" w:rsidRDefault="00D829E8">
      <w:pPr>
        <w:widowControl/>
        <w:spacing w:after="120"/>
        <w:ind w:left="851" w:hanging="851"/>
        <w:jc w:val="both"/>
        <w:rPr>
          <w:rFonts w:cs="Calibri"/>
          <w:sz w:val="24"/>
          <w:szCs w:val="24"/>
          <w:lang w:val="es-ES"/>
        </w:rPr>
      </w:pPr>
      <w:r>
        <w:rPr>
          <w:rFonts w:cs="Calibri"/>
          <w:sz w:val="24"/>
          <w:szCs w:val="24"/>
        </w:rPr>
        <w:lastRenderedPageBreak/>
        <w:t xml:space="preserve">Arias, G. (1999). </w:t>
      </w:r>
      <w:r>
        <w:rPr>
          <w:rFonts w:cs="Calibri"/>
          <w:sz w:val="24"/>
          <w:szCs w:val="24"/>
          <w:lang w:val="es-ES"/>
        </w:rPr>
        <w:t>El diagnóstico en la educación. La Habana: Pueblo y Educación.</w:t>
      </w:r>
    </w:p>
    <w:p w:rsidR="008B4D7C" w:rsidRDefault="00D829E8">
      <w:pPr>
        <w:widowControl/>
        <w:spacing w:after="120"/>
        <w:ind w:left="851" w:hanging="851"/>
        <w:jc w:val="both"/>
        <w:rPr>
          <w:rFonts w:cs="Calibri"/>
          <w:sz w:val="24"/>
          <w:szCs w:val="24"/>
          <w:lang w:val="es-ES"/>
        </w:rPr>
      </w:pPr>
      <w:r>
        <w:rPr>
          <w:rFonts w:cs="Calibri"/>
          <w:sz w:val="24"/>
          <w:szCs w:val="24"/>
          <w:lang w:val="es-ES"/>
        </w:rPr>
        <w:t>Bertalanffy, L. von. (1976). T</w:t>
      </w:r>
      <w:r>
        <w:rPr>
          <w:rFonts w:cs="Calibri"/>
          <w:sz w:val="24"/>
          <w:szCs w:val="24"/>
          <w:lang w:val="es-ES"/>
        </w:rPr>
        <w:t>eoría general de los sistemas. México: Fondo de Cultura Económica.</w:t>
      </w:r>
    </w:p>
    <w:p w:rsidR="008B4D7C" w:rsidRDefault="00D829E8">
      <w:pPr>
        <w:widowControl/>
        <w:spacing w:after="120"/>
        <w:ind w:left="851" w:hanging="851"/>
        <w:jc w:val="both"/>
        <w:rPr>
          <w:rFonts w:cs="Calibri"/>
          <w:sz w:val="24"/>
          <w:szCs w:val="24"/>
        </w:rPr>
      </w:pPr>
      <w:proofErr w:type="spellStart"/>
      <w:r>
        <w:rPr>
          <w:rFonts w:cs="Calibri"/>
          <w:sz w:val="24"/>
          <w:szCs w:val="24"/>
        </w:rPr>
        <w:t>Borgatti</w:t>
      </w:r>
      <w:proofErr w:type="spellEnd"/>
      <w:r>
        <w:rPr>
          <w:rFonts w:cs="Calibri"/>
          <w:sz w:val="24"/>
          <w:szCs w:val="24"/>
        </w:rPr>
        <w:t xml:space="preserve">, S., &amp; </w:t>
      </w:r>
      <w:proofErr w:type="spellStart"/>
      <w:r>
        <w:rPr>
          <w:rFonts w:cs="Calibri"/>
          <w:sz w:val="24"/>
          <w:szCs w:val="24"/>
        </w:rPr>
        <w:t>Halgin</w:t>
      </w:r>
      <w:proofErr w:type="spellEnd"/>
      <w:r>
        <w:rPr>
          <w:rFonts w:cs="Calibri"/>
          <w:sz w:val="24"/>
          <w:szCs w:val="24"/>
        </w:rPr>
        <w:t xml:space="preserve">, D. (2011). On network theory. </w:t>
      </w:r>
      <w:r>
        <w:rPr>
          <w:rFonts w:cs="Calibri"/>
          <w:i/>
          <w:iCs/>
          <w:sz w:val="24"/>
          <w:szCs w:val="24"/>
        </w:rPr>
        <w:t>Organization Science, 22</w:t>
      </w:r>
      <w:r>
        <w:rPr>
          <w:rFonts w:cs="Calibri"/>
          <w:sz w:val="24"/>
          <w:szCs w:val="24"/>
        </w:rPr>
        <w:t xml:space="preserve">(5), 1168-1181.  </w:t>
      </w:r>
      <w:hyperlink r:id="rId13" w:history="1">
        <w:r>
          <w:rPr>
            <w:rStyle w:val="Hipervnculo"/>
            <w:rFonts w:cs="Calibri"/>
            <w:sz w:val="24"/>
            <w:szCs w:val="24"/>
          </w:rPr>
          <w:t>https://doi.org/10.1287/orsc.1100.0641</w:t>
        </w:r>
      </w:hyperlink>
      <w:r>
        <w:rPr>
          <w:rFonts w:cs="Calibri"/>
          <w:sz w:val="24"/>
          <w:szCs w:val="24"/>
        </w:rPr>
        <w:t xml:space="preserve"> </w:t>
      </w:r>
      <w:r>
        <w:rPr>
          <w:rFonts w:cs="Calibri"/>
          <w:sz w:val="24"/>
          <w:szCs w:val="24"/>
        </w:rPr>
        <w:t xml:space="preserve">  </w:t>
      </w:r>
    </w:p>
    <w:p w:rsidR="008B4D7C" w:rsidRDefault="00D829E8">
      <w:pPr>
        <w:spacing w:after="120"/>
        <w:ind w:left="851" w:hanging="851"/>
        <w:jc w:val="both"/>
        <w:rPr>
          <w:rFonts w:cs="Calibri"/>
          <w:sz w:val="24"/>
          <w:szCs w:val="24"/>
          <w:lang w:val="es-ES"/>
        </w:rPr>
      </w:pPr>
      <w:r>
        <w:rPr>
          <w:rFonts w:cs="Calibri"/>
          <w:sz w:val="24"/>
          <w:szCs w:val="24"/>
          <w:lang w:val="de-DE"/>
        </w:rPr>
        <w:t xml:space="preserve">Broström, A., Feldmann, A., &amp; Kaulio, M.A. (2019). </w:t>
      </w:r>
      <w:r>
        <w:rPr>
          <w:rFonts w:cs="Calibri"/>
          <w:sz w:val="24"/>
          <w:szCs w:val="24"/>
        </w:rPr>
        <w:t xml:space="preserve">Structured relations between higher education institutions and external </w:t>
      </w:r>
      <w:proofErr w:type="spellStart"/>
      <w:r>
        <w:rPr>
          <w:rFonts w:cs="Calibri"/>
          <w:sz w:val="24"/>
          <w:szCs w:val="24"/>
        </w:rPr>
        <w:t>organisations</w:t>
      </w:r>
      <w:proofErr w:type="spellEnd"/>
      <w:r>
        <w:rPr>
          <w:rFonts w:cs="Calibri"/>
          <w:sz w:val="24"/>
          <w:szCs w:val="24"/>
        </w:rPr>
        <w:t xml:space="preserve">: opportunity or </w:t>
      </w:r>
      <w:proofErr w:type="spellStart"/>
      <w:r>
        <w:rPr>
          <w:rFonts w:cs="Calibri"/>
          <w:sz w:val="24"/>
          <w:szCs w:val="24"/>
        </w:rPr>
        <w:t>bureaucratisation</w:t>
      </w:r>
      <w:proofErr w:type="spellEnd"/>
      <w:r>
        <w:rPr>
          <w:rFonts w:cs="Calibri"/>
          <w:sz w:val="24"/>
          <w:szCs w:val="24"/>
        </w:rPr>
        <w:t xml:space="preserve">? </w:t>
      </w:r>
      <w:proofErr w:type="spellStart"/>
      <w:r>
        <w:rPr>
          <w:rFonts w:cs="Calibri"/>
          <w:i/>
          <w:iCs/>
          <w:sz w:val="24"/>
          <w:szCs w:val="24"/>
          <w:lang w:val="es-ES"/>
        </w:rPr>
        <w:t>Higher</w:t>
      </w:r>
      <w:proofErr w:type="spellEnd"/>
      <w:r>
        <w:rPr>
          <w:rFonts w:cs="Calibri"/>
          <w:i/>
          <w:iCs/>
          <w:sz w:val="24"/>
          <w:szCs w:val="24"/>
          <w:lang w:val="es-ES"/>
        </w:rPr>
        <w:t xml:space="preserve"> </w:t>
      </w:r>
      <w:proofErr w:type="spellStart"/>
      <w:r>
        <w:rPr>
          <w:rFonts w:cs="Calibri"/>
          <w:i/>
          <w:iCs/>
          <w:sz w:val="24"/>
          <w:szCs w:val="24"/>
          <w:lang w:val="es-ES"/>
        </w:rPr>
        <w:t>Education</w:t>
      </w:r>
      <w:proofErr w:type="spellEnd"/>
      <w:r>
        <w:rPr>
          <w:rFonts w:cs="Calibri"/>
          <w:i/>
          <w:iCs/>
          <w:sz w:val="24"/>
          <w:szCs w:val="24"/>
          <w:lang w:val="es-ES"/>
        </w:rPr>
        <w:t xml:space="preserve">, </w:t>
      </w:r>
      <w:r>
        <w:rPr>
          <w:rFonts w:cs="Calibri"/>
          <w:iCs/>
          <w:sz w:val="24"/>
          <w:szCs w:val="24"/>
          <w:lang w:val="es-ES"/>
        </w:rPr>
        <w:t>(78)</w:t>
      </w:r>
      <w:r>
        <w:rPr>
          <w:rFonts w:cs="Calibri"/>
          <w:sz w:val="24"/>
          <w:szCs w:val="24"/>
          <w:lang w:val="es-ES"/>
        </w:rPr>
        <w:t xml:space="preserve">, 575 - 591. </w:t>
      </w:r>
      <w:hyperlink r:id="rId14" w:history="1">
        <w:r>
          <w:rPr>
            <w:rStyle w:val="Hipervnculo"/>
            <w:rFonts w:cs="Calibri"/>
            <w:sz w:val="24"/>
            <w:szCs w:val="24"/>
            <w:lang w:val="es-ES"/>
          </w:rPr>
          <w:t>https://doi.org/10.1007/s10734-019-0359-1</w:t>
        </w:r>
      </w:hyperlink>
      <w:r>
        <w:rPr>
          <w:rFonts w:cs="Calibri"/>
          <w:sz w:val="24"/>
          <w:szCs w:val="24"/>
          <w:lang w:val="es-ES"/>
        </w:rPr>
        <w:t xml:space="preserve"> </w:t>
      </w:r>
    </w:p>
    <w:p w:rsidR="008B4D7C" w:rsidRDefault="00D829E8">
      <w:pPr>
        <w:spacing w:after="120"/>
        <w:ind w:left="851" w:hanging="851"/>
        <w:jc w:val="both"/>
        <w:rPr>
          <w:rStyle w:val="Hipervnculo"/>
          <w:rFonts w:cs="Calibri"/>
          <w:sz w:val="24"/>
          <w:szCs w:val="24"/>
        </w:rPr>
      </w:pPr>
      <w:r>
        <w:rPr>
          <w:rFonts w:cs="Calibri"/>
          <w:sz w:val="24"/>
          <w:szCs w:val="24"/>
          <w:lang w:val="es-ES"/>
        </w:rPr>
        <w:t>Castillo-</w:t>
      </w:r>
      <w:proofErr w:type="spellStart"/>
      <w:r>
        <w:rPr>
          <w:rFonts w:cs="Calibri"/>
          <w:sz w:val="24"/>
          <w:szCs w:val="24"/>
          <w:lang w:val="es-ES"/>
        </w:rPr>
        <w:t>Leyton</w:t>
      </w:r>
      <w:proofErr w:type="spellEnd"/>
      <w:r>
        <w:rPr>
          <w:rFonts w:cs="Calibri"/>
          <w:sz w:val="24"/>
          <w:szCs w:val="24"/>
          <w:lang w:val="es-ES"/>
        </w:rPr>
        <w:t xml:space="preserve">, A., Guzmán-Sanhueza, D., y </w:t>
      </w:r>
      <w:proofErr w:type="spellStart"/>
      <w:r>
        <w:rPr>
          <w:rFonts w:cs="Calibri"/>
          <w:sz w:val="24"/>
          <w:szCs w:val="24"/>
          <w:lang w:val="es-ES"/>
        </w:rPr>
        <w:t>Betancourth</w:t>
      </w:r>
      <w:proofErr w:type="spellEnd"/>
      <w:r>
        <w:rPr>
          <w:rFonts w:cs="Calibri"/>
          <w:sz w:val="24"/>
          <w:szCs w:val="24"/>
          <w:lang w:val="es-ES"/>
        </w:rPr>
        <w:t xml:space="preserve">-Zambrano, S. (2021). Cooperación Internacional: Un desafío en la Educación Superior Pública y Regional. </w:t>
      </w:r>
      <w:proofErr w:type="spellStart"/>
      <w:r>
        <w:rPr>
          <w:rFonts w:cs="Calibri"/>
          <w:i/>
          <w:iCs/>
          <w:sz w:val="24"/>
          <w:szCs w:val="24"/>
        </w:rPr>
        <w:t>Entramado</w:t>
      </w:r>
      <w:proofErr w:type="spellEnd"/>
      <w:r>
        <w:rPr>
          <w:rFonts w:cs="Calibri"/>
          <w:sz w:val="24"/>
          <w:szCs w:val="24"/>
        </w:rPr>
        <w:t xml:space="preserve">, </w:t>
      </w:r>
      <w:r>
        <w:rPr>
          <w:rFonts w:cs="Calibri"/>
          <w:i/>
          <w:iCs/>
          <w:sz w:val="24"/>
          <w:szCs w:val="24"/>
        </w:rPr>
        <w:t>19</w:t>
      </w:r>
      <w:r>
        <w:rPr>
          <w:rFonts w:cs="Calibri"/>
          <w:sz w:val="24"/>
          <w:szCs w:val="24"/>
        </w:rPr>
        <w:t xml:space="preserve">(1), e-9673. </w:t>
      </w:r>
      <w:hyperlink r:id="rId15" w:history="1">
        <w:r>
          <w:rPr>
            <w:rStyle w:val="Hipervnculo"/>
            <w:rFonts w:cs="Calibri"/>
            <w:sz w:val="24"/>
            <w:szCs w:val="24"/>
          </w:rPr>
          <w:t>https://doi.org/10.18041/1900-3803/entramado.1.9673</w:t>
        </w:r>
      </w:hyperlink>
    </w:p>
    <w:p w:rsidR="008B4D7C" w:rsidRDefault="00D829E8">
      <w:pPr>
        <w:spacing w:after="0"/>
        <w:ind w:left="851" w:hanging="851"/>
        <w:jc w:val="both"/>
        <w:rPr>
          <w:rFonts w:cs="Calibri"/>
          <w:sz w:val="24"/>
          <w:szCs w:val="24"/>
        </w:rPr>
      </w:pPr>
      <w:r>
        <w:rPr>
          <w:rFonts w:cs="Calibri"/>
          <w:sz w:val="24"/>
          <w:szCs w:val="24"/>
        </w:rPr>
        <w:t xml:space="preserve">Court of Justice of the European Union </w:t>
      </w:r>
      <w:r>
        <w:rPr>
          <w:rFonts w:cs="Calibri"/>
          <w:b/>
          <w:bCs/>
          <w:sz w:val="24"/>
          <w:szCs w:val="24"/>
        </w:rPr>
        <w:t>(</w:t>
      </w:r>
      <w:r>
        <w:rPr>
          <w:rFonts w:cs="Calibri"/>
          <w:sz w:val="24"/>
          <w:szCs w:val="24"/>
        </w:rPr>
        <w:t>CJEU</w:t>
      </w:r>
      <w:r>
        <w:rPr>
          <w:rFonts w:cs="Calibri"/>
          <w:sz w:val="24"/>
          <w:szCs w:val="24"/>
        </w:rPr>
        <w:t xml:space="preserve">). (2026). </w:t>
      </w:r>
      <w:r>
        <w:rPr>
          <w:rFonts w:cs="Calibri"/>
          <w:i/>
          <w:iCs/>
          <w:sz w:val="24"/>
          <w:szCs w:val="24"/>
        </w:rPr>
        <w:t>Artificial Intelligence Ethics Charter</w:t>
      </w:r>
      <w:r>
        <w:rPr>
          <w:rFonts w:cs="Calibri"/>
          <w:sz w:val="24"/>
          <w:szCs w:val="24"/>
        </w:rPr>
        <w:t xml:space="preserve">. </w:t>
      </w:r>
      <w:hyperlink r:id="rId16" w:tgtFrame="_blank" w:history="1">
        <w:r>
          <w:rPr>
            <w:rStyle w:val="Hipervnculo"/>
            <w:rFonts w:cs="Calibri"/>
            <w:sz w:val="24"/>
            <w:szCs w:val="24"/>
          </w:rPr>
          <w:t>https://curia.europa.eu/</w:t>
        </w:r>
      </w:hyperlink>
    </w:p>
    <w:p w:rsidR="008B4D7C" w:rsidRDefault="00D829E8">
      <w:pPr>
        <w:widowControl/>
        <w:spacing w:after="120"/>
        <w:ind w:left="851" w:hanging="851"/>
        <w:jc w:val="both"/>
        <w:rPr>
          <w:rStyle w:val="Hipervnculo"/>
        </w:rPr>
      </w:pPr>
      <w:r>
        <w:rPr>
          <w:rFonts w:cs="Calibri"/>
          <w:sz w:val="24"/>
          <w:szCs w:val="24"/>
        </w:rPr>
        <w:t xml:space="preserve">Davenport, T., &amp; </w:t>
      </w:r>
      <w:proofErr w:type="spellStart"/>
      <w:r>
        <w:rPr>
          <w:rFonts w:cs="Calibri"/>
          <w:sz w:val="24"/>
          <w:szCs w:val="24"/>
        </w:rPr>
        <w:t>Prusak</w:t>
      </w:r>
      <w:proofErr w:type="spellEnd"/>
      <w:r>
        <w:rPr>
          <w:rFonts w:cs="Calibri"/>
          <w:sz w:val="24"/>
          <w:szCs w:val="24"/>
        </w:rPr>
        <w:t xml:space="preserve">, L. (1998). </w:t>
      </w:r>
      <w:r>
        <w:rPr>
          <w:rFonts w:cs="Calibri"/>
          <w:i/>
          <w:iCs/>
          <w:sz w:val="24"/>
          <w:szCs w:val="24"/>
        </w:rPr>
        <w:t>Working knowledge: How organizations manage what they know</w:t>
      </w:r>
      <w:r>
        <w:rPr>
          <w:rFonts w:cs="Calibri"/>
          <w:sz w:val="24"/>
          <w:szCs w:val="24"/>
        </w:rPr>
        <w:t xml:space="preserve">. Harvard Business School Press. </w:t>
      </w:r>
      <w:hyperlink r:id="rId17" w:history="1">
        <w:r>
          <w:rPr>
            <w:rStyle w:val="Hipervnculo"/>
            <w:rFonts w:cs="Calibri"/>
            <w:sz w:val="24"/>
            <w:szCs w:val="24"/>
          </w:rPr>
          <w:t>https://search.worldcat.org/es/</w:t>
        </w:r>
        <w:r>
          <w:rPr>
            <w:rStyle w:val="Hipervnculo"/>
            <w:rFonts w:cs="Calibri"/>
            <w:sz w:val="24"/>
            <w:szCs w:val="24"/>
          </w:rPr>
          <w:t>title/1007384188</w:t>
        </w:r>
      </w:hyperlink>
      <w:r>
        <w:rPr>
          <w:rStyle w:val="Hipervnculo"/>
        </w:rPr>
        <w:t xml:space="preserve"> </w:t>
      </w:r>
    </w:p>
    <w:p w:rsidR="008B4D7C" w:rsidRDefault="00D829E8">
      <w:pPr>
        <w:spacing w:after="0"/>
        <w:ind w:left="851" w:hanging="851"/>
        <w:jc w:val="both"/>
        <w:rPr>
          <w:rFonts w:cs="Calibri"/>
          <w:sz w:val="24"/>
          <w:szCs w:val="24"/>
        </w:rPr>
      </w:pPr>
      <w:proofErr w:type="spellStart"/>
      <w:r>
        <w:rPr>
          <w:rFonts w:cs="Calibri"/>
          <w:sz w:val="24"/>
          <w:szCs w:val="24"/>
        </w:rPr>
        <w:t>Eisenhardt</w:t>
      </w:r>
      <w:proofErr w:type="spellEnd"/>
      <w:r>
        <w:rPr>
          <w:rFonts w:cs="Calibri"/>
          <w:sz w:val="24"/>
          <w:szCs w:val="24"/>
        </w:rPr>
        <w:t xml:space="preserve">, K. (1989). Agency Theory: An Assessment and Review. </w:t>
      </w:r>
      <w:r>
        <w:rPr>
          <w:rFonts w:cs="Calibri"/>
          <w:i/>
          <w:sz w:val="24"/>
          <w:szCs w:val="24"/>
        </w:rPr>
        <w:t>Academy of Management Review</w:t>
      </w:r>
      <w:r>
        <w:rPr>
          <w:rFonts w:cs="Calibri"/>
          <w:sz w:val="24"/>
          <w:szCs w:val="24"/>
        </w:rPr>
        <w:t>, 14(1), 57–74. </w:t>
      </w:r>
      <w:hyperlink r:id="rId18" w:history="1">
        <w:r>
          <w:rPr>
            <w:rStyle w:val="Hipervnculo"/>
            <w:rFonts w:cs="Calibri"/>
            <w:sz w:val="24"/>
            <w:szCs w:val="24"/>
          </w:rPr>
          <w:t>https://doi.org/10.5465/amr.1989.4279003</w:t>
        </w:r>
      </w:hyperlink>
    </w:p>
    <w:p w:rsidR="008B4D7C" w:rsidRDefault="00D829E8">
      <w:pPr>
        <w:spacing w:after="0"/>
        <w:ind w:left="851" w:hanging="851"/>
        <w:jc w:val="both"/>
        <w:rPr>
          <w:rFonts w:cs="Calibri"/>
          <w:sz w:val="24"/>
          <w:szCs w:val="24"/>
        </w:rPr>
      </w:pPr>
      <w:r>
        <w:rPr>
          <w:rFonts w:cs="Calibri"/>
          <w:sz w:val="24"/>
          <w:szCs w:val="24"/>
          <w:lang w:val="es-ES_tradnl"/>
        </w:rPr>
        <w:t>Enríquez, F., Amaro, A., Juár</w:t>
      </w:r>
      <w:r>
        <w:rPr>
          <w:rFonts w:cs="Calibri"/>
          <w:sz w:val="24"/>
          <w:szCs w:val="24"/>
          <w:lang w:val="es-ES_tradnl"/>
        </w:rPr>
        <w:t xml:space="preserve">ez, P., Rodríguez, R., &amp; </w:t>
      </w:r>
      <w:proofErr w:type="spellStart"/>
      <w:r>
        <w:rPr>
          <w:rFonts w:cs="Calibri"/>
          <w:sz w:val="24"/>
          <w:szCs w:val="24"/>
          <w:lang w:val="es-ES_tradnl"/>
        </w:rPr>
        <w:t>Soni</w:t>
      </w:r>
      <w:proofErr w:type="spellEnd"/>
      <w:r>
        <w:rPr>
          <w:rFonts w:cs="Calibri"/>
          <w:sz w:val="24"/>
          <w:szCs w:val="24"/>
          <w:lang w:val="es-ES_tradnl"/>
        </w:rPr>
        <w:t xml:space="preserve">, E. (2024). El diagnóstico como base de la intervención educativa. </w:t>
      </w:r>
      <w:r>
        <w:rPr>
          <w:rFonts w:cs="Calibri"/>
          <w:i/>
          <w:iCs/>
          <w:sz w:val="24"/>
          <w:szCs w:val="24"/>
          <w:lang w:val="es-ES_tradnl"/>
        </w:rPr>
        <w:t>Revista Científica Biológico Agropecuaria Tuxpan</w:t>
      </w:r>
      <w:r>
        <w:rPr>
          <w:rFonts w:cs="Calibri"/>
          <w:sz w:val="24"/>
          <w:szCs w:val="24"/>
          <w:lang w:val="es-ES_tradnl"/>
        </w:rPr>
        <w:t>, 12(1), 34–49. </w:t>
      </w:r>
      <w:hyperlink r:id="rId19" w:history="1">
        <w:r>
          <w:rPr>
            <w:rStyle w:val="Hipervnculo"/>
            <w:rFonts w:cs="Calibri"/>
            <w:sz w:val="24"/>
            <w:szCs w:val="24"/>
          </w:rPr>
          <w:t>https://doi.org/10.47808/revista</w:t>
        </w:r>
        <w:r>
          <w:rPr>
            <w:rStyle w:val="Hipervnculo"/>
            <w:rFonts w:cs="Calibri"/>
            <w:sz w:val="24"/>
            <w:szCs w:val="24"/>
          </w:rPr>
          <w:t>bioagro.v12i1.538</w:t>
        </w:r>
      </w:hyperlink>
    </w:p>
    <w:p w:rsidR="008B4D7C" w:rsidRDefault="00D829E8">
      <w:pPr>
        <w:spacing w:after="0"/>
        <w:ind w:left="851" w:hanging="851"/>
        <w:jc w:val="both"/>
        <w:rPr>
          <w:rFonts w:cs="Calibri"/>
          <w:sz w:val="24"/>
          <w:szCs w:val="24"/>
        </w:rPr>
      </w:pPr>
      <w:r>
        <w:rPr>
          <w:rFonts w:cs="Calibri"/>
          <w:sz w:val="24"/>
          <w:szCs w:val="24"/>
        </w:rPr>
        <w:t xml:space="preserve">European Union. (2024). </w:t>
      </w:r>
      <w:r>
        <w:rPr>
          <w:rFonts w:cs="Calibri"/>
          <w:i/>
          <w:iCs/>
          <w:sz w:val="24"/>
          <w:szCs w:val="24"/>
        </w:rPr>
        <w:t>Proposal for a directive of the European Parliament and of the Council on combating the sexual abuse and sexual exploitation of children and child sexual abuse material and replacing council framework decision 2</w:t>
      </w:r>
      <w:r>
        <w:rPr>
          <w:rFonts w:cs="Calibri"/>
          <w:i/>
          <w:iCs/>
          <w:sz w:val="24"/>
          <w:szCs w:val="24"/>
        </w:rPr>
        <w:t>004/68/JHA (recast) (COM/2024/60 final)</w:t>
      </w:r>
      <w:r>
        <w:rPr>
          <w:rFonts w:cs="Calibri"/>
          <w:sz w:val="24"/>
          <w:szCs w:val="24"/>
        </w:rPr>
        <w:t xml:space="preserve">. EUR-Lex. </w:t>
      </w:r>
      <w:hyperlink r:id="rId20" w:tgtFrame="_blank" w:history="1">
        <w:r>
          <w:rPr>
            <w:rStyle w:val="Hipervnculo"/>
            <w:rFonts w:cs="Calibri"/>
            <w:sz w:val="24"/>
            <w:szCs w:val="24"/>
          </w:rPr>
          <w:t>https://eur-lex.europa.eu/legal-content/EN/TXT/?uri=CELEX:52024PC0060</w:t>
        </w:r>
      </w:hyperlink>
    </w:p>
    <w:bookmarkEnd w:id="1"/>
    <w:p w:rsidR="008B4D7C" w:rsidRDefault="00D829E8">
      <w:pPr>
        <w:spacing w:after="120"/>
        <w:ind w:left="851" w:hanging="851"/>
        <w:jc w:val="both"/>
        <w:rPr>
          <w:rFonts w:cs="Calibri"/>
          <w:sz w:val="24"/>
          <w:szCs w:val="24"/>
          <w:lang w:val="es-ES"/>
        </w:rPr>
      </w:pPr>
      <w:r>
        <w:rPr>
          <w:rFonts w:cs="Calibri"/>
          <w:sz w:val="24"/>
          <w:szCs w:val="24"/>
          <w:shd w:val="clear" w:color="auto" w:fill="FFFFFF"/>
          <w:lang w:val="es-ES"/>
        </w:rPr>
        <w:t>Fernández, Y., Pérez, O., &amp; Caballero,</w:t>
      </w:r>
      <w:r>
        <w:rPr>
          <w:rFonts w:cs="Calibri"/>
          <w:sz w:val="24"/>
          <w:szCs w:val="24"/>
          <w:shd w:val="clear" w:color="auto" w:fill="FFFFFF"/>
          <w:lang w:val="es-ES"/>
        </w:rPr>
        <w:t xml:space="preserve"> Y. (2024). Transformación digital de las universidades cubanas, una estrategia para el diagnóstico académico con inteligencia artificial para la sostenibilidad formativa. </w:t>
      </w:r>
      <w:r>
        <w:rPr>
          <w:rStyle w:val="nfasis"/>
          <w:rFonts w:cs="Calibri"/>
          <w:sz w:val="24"/>
          <w:szCs w:val="24"/>
          <w:shd w:val="clear" w:color="auto" w:fill="FFFFFF"/>
          <w:lang w:val="es-ES"/>
        </w:rPr>
        <w:t>Anales de la Academia de Ciencias de Cuba, 14</w:t>
      </w:r>
      <w:r>
        <w:rPr>
          <w:rFonts w:cs="Calibri"/>
          <w:sz w:val="24"/>
          <w:szCs w:val="24"/>
          <w:shd w:val="clear" w:color="auto" w:fill="FFFFFF"/>
          <w:lang w:val="es-ES"/>
        </w:rPr>
        <w:t xml:space="preserve">(4), e1662. </w:t>
      </w:r>
      <w:hyperlink r:id="rId21" w:history="1">
        <w:r>
          <w:rPr>
            <w:rStyle w:val="Hipervnculo"/>
            <w:rFonts w:cs="Calibri"/>
            <w:sz w:val="24"/>
            <w:szCs w:val="24"/>
            <w:lang w:val="es-ES"/>
          </w:rPr>
          <w:t>https://revistaccuba.sld.cu/index.php/revacc/article/view/1662</w:t>
        </w:r>
      </w:hyperlink>
      <w:r>
        <w:rPr>
          <w:rFonts w:cs="Calibri"/>
          <w:sz w:val="24"/>
          <w:szCs w:val="24"/>
          <w:lang w:val="es-ES"/>
        </w:rPr>
        <w:t xml:space="preserve"> </w:t>
      </w:r>
    </w:p>
    <w:p w:rsidR="008B4D7C" w:rsidRDefault="00D829E8">
      <w:pPr>
        <w:spacing w:after="120"/>
        <w:ind w:left="851" w:hanging="851"/>
        <w:jc w:val="both"/>
        <w:rPr>
          <w:rFonts w:cs="Calibri"/>
          <w:sz w:val="24"/>
          <w:szCs w:val="24"/>
        </w:rPr>
      </w:pPr>
      <w:r>
        <w:rPr>
          <w:rFonts w:cs="Calibri"/>
          <w:color w:val="000000"/>
          <w:sz w:val="24"/>
          <w:szCs w:val="24"/>
          <w:shd w:val="clear" w:color="auto" w:fill="FFFFFF"/>
          <w:lang w:val="es-ES"/>
        </w:rPr>
        <w:t>Fernández, Y., Pérez, O., Rodríguez Á, Y., &amp; Caballero, Y. (2023). Sistema inteligente para el diagnóstico pedagó</w:t>
      </w:r>
      <w:r>
        <w:rPr>
          <w:rFonts w:cs="Calibri"/>
          <w:color w:val="000000"/>
          <w:sz w:val="24"/>
          <w:szCs w:val="24"/>
          <w:shd w:val="clear" w:color="auto" w:fill="FFFFFF"/>
          <w:lang w:val="es-ES"/>
        </w:rPr>
        <w:t xml:space="preserve">gico estudiantil. </w:t>
      </w:r>
      <w:r>
        <w:rPr>
          <w:rFonts w:cs="Calibri"/>
          <w:i/>
          <w:color w:val="000000"/>
          <w:sz w:val="24"/>
          <w:szCs w:val="24"/>
          <w:shd w:val="clear" w:color="auto" w:fill="FFFFFF"/>
          <w:lang w:val="es-ES"/>
        </w:rPr>
        <w:t>Revista Cubana De Transformación Digital</w:t>
      </w:r>
      <w:r>
        <w:rPr>
          <w:rFonts w:cs="Calibri"/>
          <w:color w:val="000000"/>
          <w:sz w:val="24"/>
          <w:szCs w:val="24"/>
          <w:shd w:val="clear" w:color="auto" w:fill="FFFFFF"/>
          <w:lang w:val="es-ES"/>
        </w:rPr>
        <w:t xml:space="preserve">, </w:t>
      </w:r>
      <w:r>
        <w:rPr>
          <w:rFonts w:cs="Calibri"/>
          <w:i/>
          <w:color w:val="000000"/>
          <w:sz w:val="24"/>
          <w:szCs w:val="24"/>
          <w:shd w:val="clear" w:color="auto" w:fill="FFFFFF"/>
          <w:lang w:val="es-ES"/>
        </w:rPr>
        <w:t>4</w:t>
      </w:r>
      <w:r>
        <w:rPr>
          <w:rFonts w:cs="Calibri"/>
          <w:color w:val="000000"/>
          <w:sz w:val="24"/>
          <w:szCs w:val="24"/>
          <w:shd w:val="clear" w:color="auto" w:fill="FFFFFF"/>
          <w:lang w:val="es-ES"/>
        </w:rPr>
        <w:t xml:space="preserve">(4), e229. </w:t>
      </w:r>
      <w:hyperlink r:id="rId22" w:history="1">
        <w:r>
          <w:rPr>
            <w:rStyle w:val="Hipervnculo"/>
            <w:rFonts w:cs="Calibri"/>
            <w:sz w:val="24"/>
            <w:szCs w:val="24"/>
            <w:shd w:val="clear" w:color="auto" w:fill="FFFFFF"/>
          </w:rPr>
          <w:t>https://rctd.uic.cu/rctd/article/view/229</w:t>
        </w:r>
      </w:hyperlink>
      <w:r>
        <w:rPr>
          <w:rFonts w:cs="Calibri"/>
          <w:color w:val="000000"/>
          <w:sz w:val="24"/>
          <w:szCs w:val="24"/>
          <w:shd w:val="clear" w:color="auto" w:fill="FFFFFF"/>
        </w:rPr>
        <w:t xml:space="preserve"> </w:t>
      </w:r>
    </w:p>
    <w:p w:rsidR="008B4D7C" w:rsidRDefault="00D829E8">
      <w:pPr>
        <w:widowControl/>
        <w:spacing w:after="120"/>
        <w:ind w:left="851" w:hanging="851"/>
        <w:jc w:val="both"/>
        <w:rPr>
          <w:rFonts w:cs="Calibri"/>
          <w:sz w:val="24"/>
          <w:szCs w:val="24"/>
        </w:rPr>
      </w:pPr>
      <w:r>
        <w:rPr>
          <w:rFonts w:cs="Calibri"/>
          <w:sz w:val="24"/>
          <w:szCs w:val="24"/>
        </w:rPr>
        <w:t xml:space="preserve">Freeman, R. E. (1984). </w:t>
      </w:r>
      <w:r>
        <w:rPr>
          <w:rFonts w:cs="Calibri"/>
          <w:i/>
          <w:iCs/>
          <w:sz w:val="24"/>
          <w:szCs w:val="24"/>
        </w:rPr>
        <w:t>Strategic management: A stakeholder approach</w:t>
      </w:r>
      <w:r>
        <w:rPr>
          <w:rFonts w:cs="Calibri"/>
          <w:sz w:val="24"/>
          <w:szCs w:val="24"/>
        </w:rPr>
        <w:t>, Pitman.</w:t>
      </w:r>
    </w:p>
    <w:p w:rsidR="008B4D7C" w:rsidRDefault="00D829E8">
      <w:pPr>
        <w:widowControl/>
        <w:spacing w:after="120"/>
        <w:ind w:left="851" w:hanging="851"/>
        <w:jc w:val="both"/>
        <w:rPr>
          <w:rStyle w:val="Hipervnculo"/>
          <w:rFonts w:cs="Calibri"/>
          <w:color w:val="auto"/>
          <w:sz w:val="24"/>
          <w:szCs w:val="24"/>
        </w:rPr>
      </w:pPr>
      <w:proofErr w:type="spellStart"/>
      <w:r>
        <w:rPr>
          <w:rFonts w:cs="Calibri"/>
          <w:sz w:val="24"/>
          <w:szCs w:val="24"/>
        </w:rPr>
        <w:t>Granov</w:t>
      </w:r>
      <w:r>
        <w:rPr>
          <w:rFonts w:cs="Calibri"/>
          <w:sz w:val="24"/>
          <w:szCs w:val="24"/>
        </w:rPr>
        <w:t>etter</w:t>
      </w:r>
      <w:proofErr w:type="spellEnd"/>
      <w:r>
        <w:rPr>
          <w:rFonts w:cs="Calibri"/>
          <w:sz w:val="24"/>
          <w:szCs w:val="24"/>
        </w:rPr>
        <w:t xml:space="preserve">, M. S. (1973). The strength of weak ties. </w:t>
      </w:r>
      <w:r>
        <w:rPr>
          <w:rFonts w:cs="Calibri"/>
          <w:i/>
          <w:iCs/>
          <w:sz w:val="24"/>
          <w:szCs w:val="24"/>
        </w:rPr>
        <w:t>American Journal of Sociology, 78</w:t>
      </w:r>
      <w:r>
        <w:rPr>
          <w:rFonts w:cs="Calibri"/>
          <w:sz w:val="24"/>
          <w:szCs w:val="24"/>
        </w:rPr>
        <w:t xml:space="preserve">(6), 1360-1380. </w:t>
      </w:r>
      <w:hyperlink r:id="rId23" w:history="1">
        <w:r>
          <w:rPr>
            <w:rStyle w:val="Hipervnculo"/>
            <w:rFonts w:cs="Calibri"/>
            <w:sz w:val="24"/>
            <w:szCs w:val="24"/>
          </w:rPr>
          <w:t>https://www.journalsuchicago.edu/doi/10.1086/225469</w:t>
        </w:r>
      </w:hyperlink>
      <w:r>
        <w:rPr>
          <w:rStyle w:val="Hipervnculo"/>
          <w:rFonts w:cs="Calibri"/>
          <w:color w:val="auto"/>
          <w:sz w:val="24"/>
          <w:szCs w:val="24"/>
        </w:rPr>
        <w:t xml:space="preserve"> </w:t>
      </w:r>
    </w:p>
    <w:p w:rsidR="008B4D7C" w:rsidRDefault="00D829E8">
      <w:pPr>
        <w:spacing w:after="0"/>
        <w:ind w:left="851" w:hanging="851"/>
        <w:jc w:val="both"/>
        <w:rPr>
          <w:rFonts w:cs="Calibri"/>
          <w:sz w:val="24"/>
          <w:szCs w:val="24"/>
        </w:rPr>
      </w:pPr>
      <w:proofErr w:type="spellStart"/>
      <w:r>
        <w:rPr>
          <w:rFonts w:cs="Calibri"/>
          <w:sz w:val="24"/>
          <w:szCs w:val="24"/>
        </w:rPr>
        <w:t>Greebon</w:t>
      </w:r>
      <w:proofErr w:type="spellEnd"/>
      <w:r>
        <w:rPr>
          <w:rFonts w:cs="Calibri"/>
          <w:sz w:val="24"/>
          <w:szCs w:val="24"/>
        </w:rPr>
        <w:t xml:space="preserve">, D. (2026). </w:t>
      </w:r>
      <w:r>
        <w:rPr>
          <w:rFonts w:cs="Calibri"/>
          <w:i/>
          <w:iCs/>
          <w:sz w:val="24"/>
          <w:szCs w:val="24"/>
        </w:rPr>
        <w:t xml:space="preserve">Artificial </w:t>
      </w:r>
      <w:r>
        <w:rPr>
          <w:rFonts w:cs="Calibri"/>
          <w:i/>
          <w:iCs/>
          <w:sz w:val="24"/>
          <w:szCs w:val="24"/>
        </w:rPr>
        <w:t xml:space="preserve">Intelligence in Education Evidence Synthesis and Use in Low- and </w:t>
      </w:r>
      <w:r>
        <w:rPr>
          <w:rFonts w:cs="Calibri"/>
          <w:i/>
          <w:iCs/>
          <w:sz w:val="24"/>
          <w:szCs w:val="24"/>
        </w:rPr>
        <w:lastRenderedPageBreak/>
        <w:t>Middle-Income Countries</w:t>
      </w:r>
      <w:r>
        <w:rPr>
          <w:rFonts w:cs="Calibri"/>
          <w:sz w:val="24"/>
          <w:szCs w:val="24"/>
        </w:rPr>
        <w:t xml:space="preserve"> (A working paper prepared for the Building Evidence in Education (BE²) Working Group). BE² Secretariat. </w:t>
      </w:r>
      <w:hyperlink r:id="rId24" w:tgtFrame="_blank" w:history="1">
        <w:r>
          <w:rPr>
            <w:rStyle w:val="Hipervnculo"/>
            <w:rFonts w:cs="Calibri"/>
            <w:sz w:val="24"/>
            <w:szCs w:val="24"/>
          </w:rPr>
          <w:t>http</w:t>
        </w:r>
        <w:r>
          <w:rPr>
            <w:rStyle w:val="Hipervnculo"/>
            <w:rFonts w:cs="Calibri"/>
            <w:sz w:val="24"/>
            <w:szCs w:val="24"/>
          </w:rPr>
          <w:t>s://doi.org/10.53832/be2.0001</w:t>
        </w:r>
      </w:hyperlink>
    </w:p>
    <w:p w:rsidR="008B4D7C" w:rsidRDefault="00D829E8">
      <w:pPr>
        <w:widowControl/>
        <w:spacing w:after="120"/>
        <w:ind w:left="851" w:hanging="851"/>
        <w:jc w:val="both"/>
        <w:rPr>
          <w:rFonts w:cs="Calibri"/>
          <w:sz w:val="24"/>
          <w:szCs w:val="24"/>
        </w:rPr>
      </w:pPr>
      <w:r>
        <w:rPr>
          <w:rFonts w:cs="Calibri"/>
          <w:sz w:val="24"/>
          <w:szCs w:val="24"/>
        </w:rPr>
        <w:t xml:space="preserve">Harvey, L., &amp; Green, D. (1993). Defining quality. </w:t>
      </w:r>
      <w:r>
        <w:rPr>
          <w:rFonts w:cs="Calibri"/>
          <w:i/>
          <w:iCs/>
          <w:sz w:val="24"/>
          <w:szCs w:val="24"/>
        </w:rPr>
        <w:t>Assessment &amp; Evaluation in Higher Education, 18</w:t>
      </w:r>
      <w:r>
        <w:rPr>
          <w:rFonts w:cs="Calibri"/>
          <w:sz w:val="24"/>
          <w:szCs w:val="24"/>
        </w:rPr>
        <w:t xml:space="preserve">(1), 9-34. </w:t>
      </w:r>
      <w:hyperlink r:id="rId25" w:history="1">
        <w:r>
          <w:rPr>
            <w:rStyle w:val="Hipervnculo"/>
            <w:rFonts w:cs="Calibri"/>
            <w:sz w:val="24"/>
            <w:szCs w:val="24"/>
          </w:rPr>
          <w:t>https://doi.org/10.1080/0260293930180102</w:t>
        </w:r>
      </w:hyperlink>
      <w:r>
        <w:rPr>
          <w:rFonts w:cs="Calibri"/>
          <w:sz w:val="24"/>
          <w:szCs w:val="24"/>
        </w:rPr>
        <w:t xml:space="preserve"> </w:t>
      </w:r>
    </w:p>
    <w:p w:rsidR="008B4D7C" w:rsidRDefault="00D829E8">
      <w:pPr>
        <w:widowControl/>
        <w:spacing w:after="120"/>
        <w:ind w:left="851" w:hanging="851"/>
        <w:jc w:val="both"/>
        <w:rPr>
          <w:rFonts w:cs="Calibri"/>
          <w:sz w:val="24"/>
          <w:szCs w:val="24"/>
        </w:rPr>
      </w:pPr>
      <w:r>
        <w:rPr>
          <w:rFonts w:cs="Calibri"/>
          <w:sz w:val="24"/>
          <w:szCs w:val="24"/>
        </w:rPr>
        <w:t>Kellogg Foundati</w:t>
      </w:r>
      <w:r>
        <w:rPr>
          <w:rFonts w:cs="Calibri"/>
          <w:sz w:val="24"/>
          <w:szCs w:val="24"/>
        </w:rPr>
        <w:t xml:space="preserve">on. (2004). </w:t>
      </w:r>
      <w:r>
        <w:rPr>
          <w:rFonts w:cs="Calibri"/>
          <w:i/>
          <w:iCs/>
          <w:sz w:val="24"/>
          <w:szCs w:val="24"/>
        </w:rPr>
        <w:t>Logic model development guide</w:t>
      </w:r>
      <w:r>
        <w:rPr>
          <w:rFonts w:cs="Calibri"/>
          <w:sz w:val="24"/>
          <w:szCs w:val="24"/>
        </w:rPr>
        <w:t>. W.K. Kellogg Foundation.</w:t>
      </w:r>
    </w:p>
    <w:p w:rsidR="008B4D7C" w:rsidRDefault="00D829E8">
      <w:pPr>
        <w:widowControl/>
        <w:spacing w:after="120"/>
        <w:ind w:left="851" w:hanging="851"/>
        <w:rPr>
          <w:rFonts w:cs="Calibri"/>
          <w:sz w:val="24"/>
          <w:szCs w:val="24"/>
        </w:rPr>
      </w:pPr>
      <w:proofErr w:type="spellStart"/>
      <w:r>
        <w:rPr>
          <w:rFonts w:cs="Calibri"/>
          <w:sz w:val="24"/>
          <w:szCs w:val="24"/>
          <w:lang w:val="es-ES"/>
        </w:rPr>
        <w:t>Mainardes</w:t>
      </w:r>
      <w:proofErr w:type="spellEnd"/>
      <w:r>
        <w:rPr>
          <w:rFonts w:cs="Calibri"/>
          <w:sz w:val="24"/>
          <w:szCs w:val="24"/>
          <w:lang w:val="es-ES"/>
        </w:rPr>
        <w:t xml:space="preserve">, E. W., Alves, H., &amp; Raposo, M. (2011). </w:t>
      </w:r>
      <w:r>
        <w:rPr>
          <w:rFonts w:cs="Calibri"/>
          <w:sz w:val="24"/>
          <w:szCs w:val="24"/>
        </w:rPr>
        <w:t xml:space="preserve">Stakeholder theory: Issues to be solved. </w:t>
      </w:r>
      <w:r>
        <w:rPr>
          <w:rFonts w:cs="Calibri"/>
          <w:i/>
          <w:iCs/>
          <w:sz w:val="24"/>
          <w:szCs w:val="24"/>
        </w:rPr>
        <w:t>Journal of Management and Strategy, 2</w:t>
      </w:r>
      <w:r>
        <w:rPr>
          <w:rFonts w:cs="Calibri"/>
          <w:sz w:val="24"/>
          <w:szCs w:val="24"/>
        </w:rPr>
        <w:t xml:space="preserve">(1), 12-25. </w:t>
      </w:r>
      <w:hyperlink r:id="rId26" w:history="1">
        <w:r>
          <w:rPr>
            <w:rStyle w:val="Hipervnculo"/>
            <w:rFonts w:cs="Calibri"/>
            <w:sz w:val="24"/>
            <w:szCs w:val="24"/>
          </w:rPr>
          <w:t>https://doi.org/10.1108/00251741111109133</w:t>
        </w:r>
      </w:hyperlink>
      <w:r>
        <w:rPr>
          <w:rFonts w:cs="Calibri"/>
          <w:sz w:val="24"/>
          <w:szCs w:val="24"/>
        </w:rPr>
        <w:t xml:space="preserve"> </w:t>
      </w:r>
    </w:p>
    <w:p w:rsidR="008B4D7C" w:rsidRDefault="00D829E8">
      <w:pPr>
        <w:spacing w:after="120"/>
        <w:ind w:left="851" w:hanging="851"/>
        <w:jc w:val="both"/>
        <w:rPr>
          <w:rFonts w:cs="Calibri"/>
          <w:sz w:val="24"/>
          <w:szCs w:val="24"/>
          <w:lang w:val="es-ES"/>
        </w:rPr>
      </w:pPr>
      <w:proofErr w:type="spellStart"/>
      <w:r>
        <w:rPr>
          <w:rFonts w:cs="Calibri"/>
          <w:sz w:val="24"/>
          <w:szCs w:val="24"/>
        </w:rPr>
        <w:t>Mazzeo</w:t>
      </w:r>
      <w:proofErr w:type="spellEnd"/>
      <w:r>
        <w:rPr>
          <w:rFonts w:cs="Calibri"/>
          <w:sz w:val="24"/>
          <w:szCs w:val="24"/>
        </w:rPr>
        <w:t xml:space="preserve">, D., &amp; </w:t>
      </w:r>
      <w:proofErr w:type="spellStart"/>
      <w:r>
        <w:rPr>
          <w:rFonts w:cs="Calibri"/>
          <w:sz w:val="24"/>
          <w:szCs w:val="24"/>
        </w:rPr>
        <w:t>Baudo</w:t>
      </w:r>
      <w:proofErr w:type="spellEnd"/>
      <w:r>
        <w:rPr>
          <w:rFonts w:cs="Calibri"/>
          <w:sz w:val="24"/>
          <w:szCs w:val="24"/>
        </w:rPr>
        <w:t xml:space="preserve">, J. (2021). </w:t>
      </w:r>
      <w:r>
        <w:rPr>
          <w:rFonts w:cs="Calibri"/>
          <w:sz w:val="24"/>
          <w:szCs w:val="24"/>
          <w:lang w:val="es-ES"/>
        </w:rPr>
        <w:t xml:space="preserve">La internacionalización en las relaciones interinstitucionales. </w:t>
      </w:r>
      <w:r>
        <w:rPr>
          <w:rFonts w:cs="Calibri"/>
          <w:i/>
          <w:iCs/>
          <w:sz w:val="24"/>
          <w:szCs w:val="24"/>
          <w:lang w:val="es-ES"/>
        </w:rPr>
        <w:t>Revista ES</w:t>
      </w:r>
      <w:r>
        <w:rPr>
          <w:rFonts w:cs="Calibri"/>
          <w:sz w:val="24"/>
          <w:szCs w:val="24"/>
          <w:lang w:val="es-ES"/>
        </w:rPr>
        <w:t xml:space="preserve">, </w:t>
      </w:r>
      <w:r>
        <w:rPr>
          <w:rFonts w:cs="Calibri"/>
          <w:i/>
          <w:iCs/>
          <w:sz w:val="24"/>
          <w:szCs w:val="24"/>
          <w:lang w:val="es-ES"/>
        </w:rPr>
        <w:t>1</w:t>
      </w:r>
      <w:r>
        <w:rPr>
          <w:rFonts w:cs="Calibri"/>
          <w:sz w:val="24"/>
          <w:szCs w:val="24"/>
          <w:lang w:val="es-ES"/>
        </w:rPr>
        <w:t xml:space="preserve">(1 y 2), e028. </w:t>
      </w:r>
      <w:hyperlink r:id="rId27" w:history="1">
        <w:r>
          <w:rPr>
            <w:rStyle w:val="Hipervnculo"/>
            <w:rFonts w:cs="Calibri"/>
            <w:sz w:val="24"/>
            <w:szCs w:val="24"/>
            <w:lang w:val="es-ES"/>
          </w:rPr>
          <w:t>https://doi.org/10.24215/271</w:t>
        </w:r>
        <w:r>
          <w:rPr>
            <w:rStyle w:val="Hipervnculo"/>
            <w:rFonts w:cs="Calibri"/>
            <w:sz w:val="24"/>
            <w:szCs w:val="24"/>
            <w:lang w:val="es-ES"/>
          </w:rPr>
          <w:t>86539e028</w:t>
        </w:r>
      </w:hyperlink>
    </w:p>
    <w:p w:rsidR="008B4D7C" w:rsidRDefault="00D829E8">
      <w:pPr>
        <w:spacing w:after="120"/>
        <w:ind w:left="851" w:hanging="851"/>
        <w:jc w:val="both"/>
        <w:rPr>
          <w:rFonts w:cs="Calibri"/>
          <w:sz w:val="24"/>
          <w:szCs w:val="24"/>
          <w:lang w:val="es-ES"/>
        </w:rPr>
      </w:pPr>
      <w:r>
        <w:rPr>
          <w:rFonts w:cs="Calibri"/>
          <w:sz w:val="24"/>
          <w:szCs w:val="24"/>
          <w:lang w:val="es-ES"/>
        </w:rPr>
        <w:t xml:space="preserve">Mendoza, M; </w:t>
      </w:r>
      <w:proofErr w:type="spellStart"/>
      <w:r>
        <w:rPr>
          <w:rFonts w:cs="Calibri"/>
          <w:sz w:val="24"/>
          <w:szCs w:val="24"/>
          <w:lang w:val="es-ES"/>
        </w:rPr>
        <w:t>Benitez</w:t>
      </w:r>
      <w:proofErr w:type="spellEnd"/>
      <w:r>
        <w:rPr>
          <w:rFonts w:cs="Calibri"/>
          <w:sz w:val="24"/>
          <w:szCs w:val="24"/>
          <w:lang w:val="es-ES"/>
        </w:rPr>
        <w:t xml:space="preserve">, L; Gonzalo, V; y Sáenz-Rico, B: (2024). </w:t>
      </w:r>
      <w:proofErr w:type="spellStart"/>
      <w:r>
        <w:rPr>
          <w:rFonts w:cs="Calibri"/>
          <w:sz w:val="24"/>
          <w:szCs w:val="24"/>
          <w:lang w:val="es-ES"/>
        </w:rPr>
        <w:t>Reimaginar</w:t>
      </w:r>
      <w:proofErr w:type="spellEnd"/>
      <w:r>
        <w:rPr>
          <w:rFonts w:cs="Calibri"/>
          <w:sz w:val="24"/>
          <w:szCs w:val="24"/>
          <w:lang w:val="es-ES"/>
        </w:rPr>
        <w:t xml:space="preserve"> juntos nuestros futuros. Un nuevo contrato social para la educación. </w:t>
      </w:r>
      <w:r>
        <w:rPr>
          <w:rFonts w:cs="Calibri"/>
          <w:i/>
          <w:iCs/>
          <w:sz w:val="24"/>
          <w:szCs w:val="24"/>
          <w:lang w:val="es-ES"/>
        </w:rPr>
        <w:t>Revista Salud Y Desarrollo</w:t>
      </w:r>
      <w:r>
        <w:rPr>
          <w:rFonts w:cs="Calibri"/>
          <w:sz w:val="24"/>
          <w:szCs w:val="24"/>
          <w:lang w:val="es-ES"/>
        </w:rPr>
        <w:t xml:space="preserve">, </w:t>
      </w:r>
      <w:r>
        <w:rPr>
          <w:rFonts w:cs="Calibri"/>
          <w:i/>
          <w:iCs/>
          <w:sz w:val="24"/>
          <w:szCs w:val="24"/>
          <w:lang w:val="es-ES"/>
        </w:rPr>
        <w:t>8</w:t>
      </w:r>
      <w:r>
        <w:rPr>
          <w:rFonts w:cs="Calibri"/>
          <w:sz w:val="24"/>
          <w:szCs w:val="24"/>
          <w:lang w:val="es-ES"/>
        </w:rPr>
        <w:t xml:space="preserve">(3), e743. </w:t>
      </w:r>
      <w:hyperlink r:id="rId28" w:history="1">
        <w:r>
          <w:rPr>
            <w:rStyle w:val="Hipervnculo"/>
            <w:rFonts w:cs="Calibri"/>
            <w:sz w:val="24"/>
            <w:szCs w:val="24"/>
            <w:lang w:val="es-ES"/>
          </w:rPr>
          <w:t>https://doi.org</w:t>
        </w:r>
        <w:r>
          <w:rPr>
            <w:rStyle w:val="Hipervnculo"/>
            <w:rFonts w:cs="Calibri"/>
            <w:sz w:val="24"/>
            <w:szCs w:val="24"/>
            <w:lang w:val="es-ES"/>
          </w:rPr>
          <w:t>/10.55717/NRHV8567</w:t>
        </w:r>
      </w:hyperlink>
    </w:p>
    <w:p w:rsidR="008B4D7C" w:rsidRDefault="00D829E8">
      <w:pPr>
        <w:spacing w:after="120"/>
        <w:ind w:left="851" w:hanging="851"/>
        <w:jc w:val="both"/>
        <w:rPr>
          <w:rFonts w:cs="Calibri"/>
          <w:sz w:val="24"/>
          <w:szCs w:val="24"/>
          <w:lang w:val="es-ES"/>
        </w:rPr>
      </w:pPr>
      <w:proofErr w:type="spellStart"/>
      <w:r>
        <w:rPr>
          <w:rFonts w:cs="Calibri"/>
          <w:sz w:val="24"/>
          <w:szCs w:val="24"/>
          <w:lang w:val="es-ES"/>
        </w:rPr>
        <w:t>Mex</w:t>
      </w:r>
      <w:proofErr w:type="spellEnd"/>
      <w:r>
        <w:rPr>
          <w:rFonts w:cs="Calibri"/>
          <w:sz w:val="24"/>
          <w:szCs w:val="24"/>
          <w:lang w:val="es-ES"/>
        </w:rPr>
        <w:t xml:space="preserve">, D., Perera, E., Ortiz, N., y Gutiérrez, J. (2023). Construcción de indicadores del sistema institucional de seguimiento de convenios. </w:t>
      </w:r>
      <w:proofErr w:type="spellStart"/>
      <w:r>
        <w:rPr>
          <w:rFonts w:cs="Calibri"/>
          <w:i/>
          <w:iCs/>
          <w:sz w:val="24"/>
          <w:szCs w:val="24"/>
          <w:lang w:val="es-ES"/>
        </w:rPr>
        <w:t>Multidisciplinas</w:t>
      </w:r>
      <w:proofErr w:type="spellEnd"/>
      <w:r>
        <w:rPr>
          <w:rFonts w:cs="Calibri"/>
          <w:i/>
          <w:iCs/>
          <w:sz w:val="24"/>
          <w:szCs w:val="24"/>
          <w:lang w:val="es-ES"/>
        </w:rPr>
        <w:t xml:space="preserve"> de la Ingeniería</w:t>
      </w:r>
      <w:r>
        <w:rPr>
          <w:rFonts w:cs="Calibri"/>
          <w:sz w:val="24"/>
          <w:szCs w:val="24"/>
          <w:lang w:val="es-ES"/>
        </w:rPr>
        <w:t xml:space="preserve">, </w:t>
      </w:r>
      <w:r>
        <w:rPr>
          <w:rFonts w:cs="Calibri"/>
          <w:i/>
          <w:iCs/>
          <w:sz w:val="24"/>
          <w:szCs w:val="24"/>
          <w:lang w:val="es-ES"/>
        </w:rPr>
        <w:t>7</w:t>
      </w:r>
      <w:r>
        <w:rPr>
          <w:rFonts w:cs="Calibri"/>
          <w:sz w:val="24"/>
          <w:szCs w:val="24"/>
          <w:lang w:val="es-ES"/>
        </w:rPr>
        <w:t xml:space="preserve">(10), 97–106. </w:t>
      </w:r>
      <w:hyperlink r:id="rId29" w:history="1">
        <w:r>
          <w:rPr>
            <w:rStyle w:val="Hipervnculo"/>
            <w:rFonts w:cs="Calibri"/>
            <w:sz w:val="24"/>
            <w:szCs w:val="24"/>
            <w:lang w:val="es-ES"/>
          </w:rPr>
          <w:t>https://doi.org/10.29105/mdi.v7i10.227</w:t>
        </w:r>
      </w:hyperlink>
      <w:r>
        <w:rPr>
          <w:rFonts w:cs="Calibri"/>
          <w:sz w:val="24"/>
          <w:szCs w:val="24"/>
          <w:lang w:val="es-ES"/>
        </w:rPr>
        <w:t xml:space="preserve"> </w:t>
      </w:r>
    </w:p>
    <w:p w:rsidR="008B4D7C" w:rsidRDefault="00D829E8">
      <w:pPr>
        <w:spacing w:after="120"/>
        <w:ind w:left="851" w:hanging="851"/>
        <w:jc w:val="both"/>
        <w:rPr>
          <w:rFonts w:cs="Calibri"/>
          <w:sz w:val="24"/>
          <w:szCs w:val="24"/>
          <w:lang w:val="es-ES"/>
        </w:rPr>
      </w:pPr>
      <w:r>
        <w:rPr>
          <w:rFonts w:cs="Calibri"/>
          <w:sz w:val="24"/>
          <w:szCs w:val="24"/>
          <w:lang w:val="es-ES"/>
        </w:rPr>
        <w:t xml:space="preserve">Montesinos, C. (2023). La internacionalización de la educación superior y la cooperación interuniversitaria como motor de cohesión social y desarrollo sostenible. </w:t>
      </w:r>
      <w:r>
        <w:rPr>
          <w:rFonts w:cs="Calibri"/>
          <w:i/>
          <w:iCs/>
          <w:sz w:val="24"/>
          <w:szCs w:val="24"/>
          <w:lang w:val="es-ES"/>
        </w:rPr>
        <w:t>DOCENCIA Y DERECHO</w:t>
      </w:r>
      <w:r>
        <w:rPr>
          <w:rFonts w:cs="Calibri"/>
          <w:sz w:val="24"/>
          <w:szCs w:val="24"/>
          <w:lang w:val="es-ES"/>
        </w:rPr>
        <w:t xml:space="preserve">, (15), 71–84. </w:t>
      </w:r>
      <w:hyperlink r:id="rId30" w:history="1">
        <w:r>
          <w:rPr>
            <w:rStyle w:val="Hipervnculo"/>
            <w:rFonts w:cs="Calibri"/>
            <w:sz w:val="24"/>
            <w:szCs w:val="24"/>
            <w:lang w:val="es-ES"/>
          </w:rPr>
          <w:t>https://doi.org/10.21071/redd.vi15.16566</w:t>
        </w:r>
      </w:hyperlink>
    </w:p>
    <w:p w:rsidR="008B4D7C" w:rsidRDefault="00D829E8">
      <w:pPr>
        <w:spacing w:after="0"/>
        <w:ind w:left="851" w:hanging="851"/>
        <w:jc w:val="both"/>
        <w:rPr>
          <w:rFonts w:cs="Calibri"/>
          <w:sz w:val="24"/>
          <w:szCs w:val="24"/>
          <w:lang w:val="es-ES"/>
        </w:rPr>
      </w:pPr>
      <w:r>
        <w:rPr>
          <w:rFonts w:cs="Calibri"/>
          <w:sz w:val="24"/>
          <w:szCs w:val="24"/>
          <w:lang w:val="es-ES"/>
        </w:rPr>
        <w:t>Moreno, R., Esteban, B., &amp; Martín, A. (2025). Retos en educación y sociedad para la Agenda 2030. </w:t>
      </w:r>
      <w:r>
        <w:rPr>
          <w:rFonts w:cs="Calibri"/>
          <w:i/>
          <w:iCs/>
          <w:sz w:val="24"/>
          <w:szCs w:val="24"/>
          <w:lang w:val="es-ES"/>
        </w:rPr>
        <w:t>Pedagogía Social Revista Interuniversitaria</w:t>
      </w:r>
      <w:r>
        <w:rPr>
          <w:rFonts w:cs="Calibri"/>
          <w:sz w:val="24"/>
          <w:szCs w:val="24"/>
          <w:lang w:val="es-ES"/>
        </w:rPr>
        <w:t xml:space="preserve">, (47), 09–11. </w:t>
      </w:r>
      <w:hyperlink r:id="rId31" w:history="1">
        <w:r>
          <w:rPr>
            <w:rStyle w:val="Hipervnculo"/>
            <w:rFonts w:cs="Calibri"/>
            <w:sz w:val="24"/>
            <w:szCs w:val="24"/>
            <w:lang w:val="es-ES"/>
          </w:rPr>
          <w:t>https://doi.org/10.7179/PSRI_2025.47.00</w:t>
        </w:r>
      </w:hyperlink>
      <w:r>
        <w:rPr>
          <w:rFonts w:cs="Calibri"/>
          <w:sz w:val="24"/>
          <w:szCs w:val="24"/>
          <w:lang w:val="es-ES"/>
        </w:rPr>
        <w:t xml:space="preserve"> </w:t>
      </w:r>
    </w:p>
    <w:p w:rsidR="008B4D7C" w:rsidRDefault="00D829E8">
      <w:pPr>
        <w:spacing w:after="120"/>
        <w:ind w:left="851" w:hanging="851"/>
        <w:jc w:val="both"/>
        <w:rPr>
          <w:rFonts w:cs="Calibri"/>
          <w:sz w:val="24"/>
          <w:szCs w:val="24"/>
          <w:lang w:val="es-ES"/>
        </w:rPr>
      </w:pPr>
      <w:proofErr w:type="spellStart"/>
      <w:r>
        <w:rPr>
          <w:rFonts w:cs="Calibri"/>
          <w:sz w:val="24"/>
          <w:szCs w:val="24"/>
          <w:lang w:val="es-ES"/>
        </w:rPr>
        <w:t>Mückenberger</w:t>
      </w:r>
      <w:proofErr w:type="spellEnd"/>
      <w:r>
        <w:rPr>
          <w:rFonts w:cs="Calibri"/>
          <w:sz w:val="24"/>
          <w:szCs w:val="24"/>
          <w:lang w:val="es-ES"/>
        </w:rPr>
        <w:t xml:space="preserve">, E., </w:t>
      </w:r>
      <w:proofErr w:type="spellStart"/>
      <w:r>
        <w:rPr>
          <w:rFonts w:cs="Calibri"/>
          <w:sz w:val="24"/>
          <w:szCs w:val="24"/>
          <w:lang w:val="es-ES"/>
        </w:rPr>
        <w:t>Togashi</w:t>
      </w:r>
      <w:proofErr w:type="spellEnd"/>
      <w:r>
        <w:rPr>
          <w:rFonts w:cs="Calibri"/>
          <w:sz w:val="24"/>
          <w:szCs w:val="24"/>
          <w:lang w:val="es-ES"/>
        </w:rPr>
        <w:t xml:space="preserve">, G., </w:t>
      </w:r>
      <w:proofErr w:type="spellStart"/>
      <w:r>
        <w:rPr>
          <w:rFonts w:cs="Calibri"/>
          <w:sz w:val="24"/>
          <w:szCs w:val="24"/>
          <w:lang w:val="es-ES"/>
        </w:rPr>
        <w:t>Pádua</w:t>
      </w:r>
      <w:proofErr w:type="spellEnd"/>
      <w:r>
        <w:rPr>
          <w:rFonts w:cs="Calibri"/>
          <w:sz w:val="24"/>
          <w:szCs w:val="24"/>
          <w:lang w:val="es-ES"/>
        </w:rPr>
        <w:t xml:space="preserve">, S., &amp; Miura, I. (2013). </w:t>
      </w:r>
      <w:proofErr w:type="spellStart"/>
      <w:r>
        <w:rPr>
          <w:rFonts w:cs="Calibri"/>
          <w:sz w:val="24"/>
          <w:szCs w:val="24"/>
          <w:lang w:val="es-ES"/>
        </w:rPr>
        <w:t>Gestão</w:t>
      </w:r>
      <w:proofErr w:type="spellEnd"/>
      <w:r>
        <w:rPr>
          <w:rFonts w:cs="Calibri"/>
          <w:sz w:val="24"/>
          <w:szCs w:val="24"/>
          <w:lang w:val="es-ES"/>
        </w:rPr>
        <w:t xml:space="preserve"> de </w:t>
      </w:r>
      <w:proofErr w:type="spellStart"/>
      <w:r>
        <w:rPr>
          <w:rFonts w:cs="Calibri"/>
          <w:sz w:val="24"/>
          <w:szCs w:val="24"/>
          <w:lang w:val="es-ES"/>
        </w:rPr>
        <w:t>processos</w:t>
      </w:r>
      <w:proofErr w:type="spellEnd"/>
      <w:r>
        <w:rPr>
          <w:rFonts w:cs="Calibri"/>
          <w:sz w:val="24"/>
          <w:szCs w:val="24"/>
          <w:lang w:val="es-ES"/>
        </w:rPr>
        <w:t xml:space="preserve"> aplicada à </w:t>
      </w:r>
      <w:proofErr w:type="spellStart"/>
      <w:r>
        <w:rPr>
          <w:rFonts w:cs="Calibri"/>
          <w:sz w:val="24"/>
          <w:szCs w:val="24"/>
          <w:lang w:val="es-ES"/>
        </w:rPr>
        <w:t>realização</w:t>
      </w:r>
      <w:proofErr w:type="spellEnd"/>
      <w:r>
        <w:rPr>
          <w:rFonts w:cs="Calibri"/>
          <w:sz w:val="24"/>
          <w:szCs w:val="24"/>
          <w:lang w:val="es-ES"/>
        </w:rPr>
        <w:t xml:space="preserve"> de </w:t>
      </w:r>
      <w:proofErr w:type="spellStart"/>
      <w:r>
        <w:rPr>
          <w:rFonts w:cs="Calibri"/>
          <w:sz w:val="24"/>
          <w:szCs w:val="24"/>
          <w:lang w:val="es-ES"/>
        </w:rPr>
        <w:t>convênios</w:t>
      </w:r>
      <w:proofErr w:type="spellEnd"/>
      <w:r>
        <w:rPr>
          <w:rFonts w:cs="Calibri"/>
          <w:sz w:val="24"/>
          <w:szCs w:val="24"/>
          <w:lang w:val="es-ES"/>
        </w:rPr>
        <w:t xml:space="preserve"> </w:t>
      </w:r>
      <w:proofErr w:type="spellStart"/>
      <w:r>
        <w:rPr>
          <w:rFonts w:cs="Calibri"/>
          <w:sz w:val="24"/>
          <w:szCs w:val="24"/>
          <w:lang w:val="es-ES"/>
        </w:rPr>
        <w:t>internacionais</w:t>
      </w:r>
      <w:proofErr w:type="spellEnd"/>
      <w:r>
        <w:rPr>
          <w:rFonts w:cs="Calibri"/>
          <w:sz w:val="24"/>
          <w:szCs w:val="24"/>
          <w:lang w:val="es-ES"/>
        </w:rPr>
        <w:t xml:space="preserve"> </w:t>
      </w:r>
      <w:proofErr w:type="spellStart"/>
      <w:r>
        <w:rPr>
          <w:rFonts w:cs="Calibri"/>
          <w:sz w:val="24"/>
          <w:szCs w:val="24"/>
          <w:lang w:val="es-ES"/>
        </w:rPr>
        <w:t>bilaterais</w:t>
      </w:r>
      <w:proofErr w:type="spellEnd"/>
      <w:r>
        <w:rPr>
          <w:rFonts w:cs="Calibri"/>
          <w:sz w:val="24"/>
          <w:szCs w:val="24"/>
          <w:lang w:val="es-ES"/>
        </w:rPr>
        <w:t xml:space="preserve"> </w:t>
      </w:r>
      <w:proofErr w:type="spellStart"/>
      <w:r>
        <w:rPr>
          <w:rFonts w:cs="Calibri"/>
          <w:sz w:val="24"/>
          <w:szCs w:val="24"/>
          <w:lang w:val="es-ES"/>
        </w:rPr>
        <w:t>em</w:t>
      </w:r>
      <w:proofErr w:type="spellEnd"/>
      <w:r>
        <w:rPr>
          <w:rFonts w:cs="Calibri"/>
          <w:sz w:val="24"/>
          <w:szCs w:val="24"/>
          <w:lang w:val="es-ES"/>
        </w:rPr>
        <w:t xml:space="preserve"> </w:t>
      </w:r>
      <w:proofErr w:type="spellStart"/>
      <w:r>
        <w:rPr>
          <w:rFonts w:cs="Calibri"/>
          <w:sz w:val="24"/>
          <w:szCs w:val="24"/>
          <w:lang w:val="es-ES"/>
        </w:rPr>
        <w:t>uma</w:t>
      </w:r>
      <w:proofErr w:type="spellEnd"/>
      <w:r>
        <w:rPr>
          <w:rFonts w:cs="Calibri"/>
          <w:sz w:val="24"/>
          <w:szCs w:val="24"/>
          <w:lang w:val="es-ES"/>
        </w:rPr>
        <w:t xml:space="preserve"> </w:t>
      </w:r>
      <w:proofErr w:type="spellStart"/>
      <w:r>
        <w:rPr>
          <w:rFonts w:cs="Calibri"/>
          <w:sz w:val="24"/>
          <w:szCs w:val="24"/>
          <w:lang w:val="es-ES"/>
        </w:rPr>
        <w:t>instituição</w:t>
      </w:r>
      <w:proofErr w:type="spellEnd"/>
      <w:r>
        <w:rPr>
          <w:rFonts w:cs="Calibri"/>
          <w:sz w:val="24"/>
          <w:szCs w:val="24"/>
          <w:lang w:val="es-ES"/>
        </w:rPr>
        <w:t xml:space="preserve"> </w:t>
      </w:r>
      <w:r>
        <w:rPr>
          <w:rFonts w:cs="Calibri"/>
          <w:sz w:val="24"/>
          <w:szCs w:val="24"/>
          <w:lang w:val="es-ES"/>
        </w:rPr>
        <w:t xml:space="preserve">de </w:t>
      </w:r>
      <w:proofErr w:type="spellStart"/>
      <w:r>
        <w:rPr>
          <w:rFonts w:cs="Calibri"/>
          <w:sz w:val="24"/>
          <w:szCs w:val="24"/>
          <w:lang w:val="es-ES"/>
        </w:rPr>
        <w:t>ensino</w:t>
      </w:r>
      <w:proofErr w:type="spellEnd"/>
      <w:r>
        <w:rPr>
          <w:rFonts w:cs="Calibri"/>
          <w:sz w:val="24"/>
          <w:szCs w:val="24"/>
          <w:lang w:val="es-ES"/>
        </w:rPr>
        <w:t xml:space="preserve"> superior pública brasileira. </w:t>
      </w:r>
      <w:proofErr w:type="spellStart"/>
      <w:r>
        <w:rPr>
          <w:rFonts w:cs="Calibri"/>
          <w:i/>
          <w:iCs/>
          <w:sz w:val="24"/>
          <w:szCs w:val="24"/>
          <w:lang w:val="es-ES"/>
        </w:rPr>
        <w:t>Production</w:t>
      </w:r>
      <w:proofErr w:type="spellEnd"/>
      <w:r>
        <w:rPr>
          <w:rFonts w:cs="Calibri"/>
          <w:sz w:val="24"/>
          <w:szCs w:val="24"/>
          <w:lang w:val="es-ES"/>
        </w:rPr>
        <w:t xml:space="preserve">, </w:t>
      </w:r>
      <w:r>
        <w:rPr>
          <w:rFonts w:cs="Calibri"/>
          <w:i/>
          <w:iCs/>
          <w:sz w:val="24"/>
          <w:szCs w:val="24"/>
          <w:lang w:val="es-ES"/>
        </w:rPr>
        <w:t>23</w:t>
      </w:r>
      <w:r>
        <w:rPr>
          <w:rFonts w:cs="Calibri"/>
          <w:sz w:val="24"/>
          <w:szCs w:val="24"/>
          <w:lang w:val="es-ES"/>
        </w:rPr>
        <w:t xml:space="preserve">(3), 637–651. </w:t>
      </w:r>
      <w:hyperlink r:id="rId32" w:history="1">
        <w:r>
          <w:rPr>
            <w:rStyle w:val="Hipervnculo"/>
            <w:rFonts w:cs="Calibri"/>
            <w:sz w:val="24"/>
            <w:szCs w:val="24"/>
            <w:lang w:val="es-ES"/>
          </w:rPr>
          <w:t>https://doi.org/10.1590/S0103-65132012005000076</w:t>
        </w:r>
      </w:hyperlink>
      <w:r>
        <w:rPr>
          <w:rFonts w:cs="Calibri"/>
          <w:sz w:val="24"/>
          <w:szCs w:val="24"/>
          <w:lang w:val="es-ES"/>
        </w:rPr>
        <w:t xml:space="preserve"> </w:t>
      </w:r>
    </w:p>
    <w:p w:rsidR="008B4D7C" w:rsidRDefault="00D829E8">
      <w:pPr>
        <w:widowControl/>
        <w:spacing w:after="120"/>
        <w:ind w:left="851" w:hanging="851"/>
        <w:jc w:val="both"/>
        <w:rPr>
          <w:rFonts w:cs="Calibri"/>
          <w:sz w:val="24"/>
          <w:szCs w:val="24"/>
        </w:rPr>
      </w:pPr>
      <w:r>
        <w:rPr>
          <w:rFonts w:cs="Calibri"/>
          <w:sz w:val="24"/>
          <w:szCs w:val="24"/>
          <w:lang w:val="es-ES"/>
        </w:rPr>
        <w:t>Nieves, L. (2000). El diagnóstico como proceso de evaluación-intervención: u</w:t>
      </w:r>
      <w:r>
        <w:rPr>
          <w:rFonts w:cs="Calibri"/>
          <w:sz w:val="24"/>
          <w:szCs w:val="24"/>
          <w:lang w:val="es-ES"/>
        </w:rPr>
        <w:t xml:space="preserve">na nueva concepción. En </w:t>
      </w:r>
      <w:r>
        <w:rPr>
          <w:rFonts w:cs="Calibri"/>
          <w:i/>
          <w:sz w:val="24"/>
          <w:szCs w:val="24"/>
          <w:lang w:val="es-ES"/>
        </w:rPr>
        <w:t>Educación de alumnos con necesidades educativas especiales. Fundamentos y actualidad</w:t>
      </w:r>
      <w:r>
        <w:rPr>
          <w:rFonts w:cs="Calibri"/>
          <w:sz w:val="24"/>
          <w:szCs w:val="24"/>
          <w:lang w:val="es-ES"/>
        </w:rPr>
        <w:t xml:space="preserve"> (pp. 30-44). </w:t>
      </w:r>
      <w:r>
        <w:rPr>
          <w:rFonts w:cs="Calibri"/>
          <w:sz w:val="24"/>
          <w:szCs w:val="24"/>
        </w:rPr>
        <w:t xml:space="preserve">La Habana: Pueblo y </w:t>
      </w:r>
      <w:proofErr w:type="spellStart"/>
      <w:r>
        <w:rPr>
          <w:rFonts w:cs="Calibri"/>
          <w:sz w:val="24"/>
          <w:szCs w:val="24"/>
        </w:rPr>
        <w:t>Educación</w:t>
      </w:r>
      <w:proofErr w:type="spellEnd"/>
      <w:r>
        <w:rPr>
          <w:rFonts w:cs="Calibri"/>
          <w:sz w:val="24"/>
          <w:szCs w:val="24"/>
        </w:rPr>
        <w:t>.</w:t>
      </w:r>
    </w:p>
    <w:p w:rsidR="008B4D7C" w:rsidRDefault="00D829E8">
      <w:pPr>
        <w:widowControl/>
        <w:spacing w:after="120"/>
        <w:ind w:left="851" w:hanging="851"/>
        <w:jc w:val="both"/>
        <w:rPr>
          <w:rFonts w:cs="Calibri"/>
          <w:sz w:val="24"/>
          <w:szCs w:val="24"/>
        </w:rPr>
      </w:pPr>
      <w:proofErr w:type="spellStart"/>
      <w:r>
        <w:rPr>
          <w:rFonts w:cs="Calibri"/>
          <w:sz w:val="24"/>
          <w:szCs w:val="24"/>
        </w:rPr>
        <w:t>Nonaka</w:t>
      </w:r>
      <w:proofErr w:type="spellEnd"/>
      <w:r>
        <w:rPr>
          <w:rFonts w:cs="Calibri"/>
          <w:sz w:val="24"/>
          <w:szCs w:val="24"/>
        </w:rPr>
        <w:t xml:space="preserve">, I., &amp; Takeuchi, H. (1995). </w:t>
      </w:r>
      <w:r>
        <w:rPr>
          <w:rFonts w:cs="Calibri"/>
          <w:i/>
          <w:iCs/>
          <w:sz w:val="24"/>
          <w:szCs w:val="24"/>
        </w:rPr>
        <w:t>The knowledge-creating company: How Japanese companies create the dy</w:t>
      </w:r>
      <w:r>
        <w:rPr>
          <w:rFonts w:cs="Calibri"/>
          <w:i/>
          <w:iCs/>
          <w:sz w:val="24"/>
          <w:szCs w:val="24"/>
        </w:rPr>
        <w:t>namics of innovation</w:t>
      </w:r>
      <w:r>
        <w:rPr>
          <w:rFonts w:cs="Calibri"/>
          <w:sz w:val="24"/>
          <w:szCs w:val="24"/>
        </w:rPr>
        <w:t xml:space="preserve">. Oxford University Press. </w:t>
      </w:r>
      <w:hyperlink r:id="rId33" w:history="1">
        <w:r>
          <w:rPr>
            <w:rStyle w:val="Hipervnculo"/>
            <w:rFonts w:cs="Calibri"/>
            <w:sz w:val="24"/>
            <w:szCs w:val="24"/>
          </w:rPr>
          <w:t>https://academic.oup.com/book/52097</w:t>
        </w:r>
      </w:hyperlink>
      <w:r>
        <w:rPr>
          <w:rFonts w:cs="Calibri"/>
          <w:sz w:val="24"/>
          <w:szCs w:val="24"/>
        </w:rPr>
        <w:t xml:space="preserve"> </w:t>
      </w:r>
    </w:p>
    <w:p w:rsidR="008B4D7C" w:rsidRDefault="00D829E8">
      <w:pPr>
        <w:spacing w:after="0"/>
        <w:ind w:left="851" w:hanging="851"/>
        <w:jc w:val="both"/>
        <w:rPr>
          <w:rFonts w:cs="Calibri"/>
          <w:sz w:val="24"/>
          <w:szCs w:val="24"/>
          <w:lang w:val="nl-NL"/>
        </w:rPr>
      </w:pPr>
      <w:r>
        <w:rPr>
          <w:rFonts w:cs="Calibri"/>
          <w:sz w:val="24"/>
          <w:szCs w:val="24"/>
        </w:rPr>
        <w:t xml:space="preserve">OECD. (2024). </w:t>
      </w:r>
      <w:r>
        <w:rPr>
          <w:rFonts w:cs="Calibri"/>
          <w:i/>
          <w:iCs/>
          <w:sz w:val="24"/>
          <w:szCs w:val="24"/>
        </w:rPr>
        <w:t>PISA 2022 Results: Creative Minds, Creative Schools</w:t>
      </w:r>
      <w:r>
        <w:rPr>
          <w:rFonts w:cs="Calibri"/>
          <w:sz w:val="24"/>
          <w:szCs w:val="24"/>
        </w:rPr>
        <w:t xml:space="preserve">. </w:t>
      </w:r>
      <w:r>
        <w:rPr>
          <w:rFonts w:cs="Calibri"/>
          <w:sz w:val="24"/>
          <w:szCs w:val="24"/>
          <w:lang w:val="nl-NL"/>
        </w:rPr>
        <w:t xml:space="preserve">Vol. III. OECD publishing. </w:t>
      </w:r>
      <w:r>
        <w:fldChar w:fldCharType="begin"/>
      </w:r>
      <w:r>
        <w:instrText xml:space="preserve"> HYPERLINK "https://www.oe</w:instrText>
      </w:r>
      <w:r>
        <w:instrText xml:space="preserve">cd.org/en/publications/pisa-2022-results-volume-iii_765ee8c2-en.html" </w:instrText>
      </w:r>
      <w:r>
        <w:fldChar w:fldCharType="separate"/>
      </w:r>
      <w:r>
        <w:rPr>
          <w:rStyle w:val="Hipervnculo"/>
          <w:rFonts w:cs="Calibri"/>
          <w:bCs/>
          <w:sz w:val="24"/>
          <w:szCs w:val="24"/>
          <w:lang w:val="nl-NL"/>
        </w:rPr>
        <w:t>https://www.oecd.org/en/publications/pisa-2022-results-volume-iii_765ee8c2-en.html</w:t>
      </w:r>
      <w:r>
        <w:fldChar w:fldCharType="end"/>
      </w:r>
    </w:p>
    <w:p w:rsidR="008B4D7C" w:rsidRDefault="00D829E8">
      <w:pPr>
        <w:spacing w:after="120"/>
        <w:ind w:left="851" w:hanging="851"/>
        <w:jc w:val="both"/>
        <w:rPr>
          <w:rFonts w:cs="Calibri"/>
          <w:sz w:val="24"/>
          <w:szCs w:val="24"/>
        </w:rPr>
      </w:pPr>
      <w:r>
        <w:rPr>
          <w:rFonts w:cs="Calibri"/>
          <w:sz w:val="24"/>
          <w:szCs w:val="24"/>
        </w:rPr>
        <w:t xml:space="preserve">Pratt, J., Matthews, S.P., </w:t>
      </w:r>
      <w:proofErr w:type="spellStart"/>
      <w:r>
        <w:rPr>
          <w:rFonts w:cs="Calibri"/>
          <w:sz w:val="24"/>
          <w:szCs w:val="24"/>
        </w:rPr>
        <w:t>Nairne</w:t>
      </w:r>
      <w:proofErr w:type="spellEnd"/>
      <w:r>
        <w:rPr>
          <w:rFonts w:cs="Calibri"/>
          <w:sz w:val="24"/>
          <w:szCs w:val="24"/>
        </w:rPr>
        <w:t xml:space="preserve">, B., Hoult, E.C., &amp; </w:t>
      </w:r>
      <w:proofErr w:type="spellStart"/>
      <w:r>
        <w:rPr>
          <w:rFonts w:cs="Calibri"/>
          <w:sz w:val="24"/>
          <w:szCs w:val="24"/>
        </w:rPr>
        <w:t>Ashenden</w:t>
      </w:r>
      <w:proofErr w:type="spellEnd"/>
      <w:r>
        <w:rPr>
          <w:rFonts w:cs="Calibri"/>
          <w:sz w:val="24"/>
          <w:szCs w:val="24"/>
        </w:rPr>
        <w:t xml:space="preserve">, S.J. (2011). Collaboration Between </w:t>
      </w:r>
      <w:r>
        <w:rPr>
          <w:rFonts w:cs="Calibri"/>
          <w:sz w:val="24"/>
          <w:szCs w:val="24"/>
        </w:rPr>
        <w:lastRenderedPageBreak/>
        <w:t>U</w:t>
      </w:r>
      <w:r>
        <w:rPr>
          <w:rFonts w:cs="Calibri"/>
          <w:sz w:val="24"/>
          <w:szCs w:val="24"/>
        </w:rPr>
        <w:t xml:space="preserve">niversities: An effective way of sustaining community-university partnerships? </w:t>
      </w:r>
      <w:r>
        <w:rPr>
          <w:rFonts w:cs="Calibri"/>
          <w:i/>
          <w:iCs/>
          <w:sz w:val="24"/>
          <w:szCs w:val="24"/>
        </w:rPr>
        <w:t xml:space="preserve">Gateways: International Journal of Community Research and Engagement, </w:t>
      </w:r>
      <w:r>
        <w:rPr>
          <w:rFonts w:cs="Calibri"/>
          <w:b/>
          <w:i/>
          <w:iCs/>
          <w:sz w:val="24"/>
          <w:szCs w:val="24"/>
        </w:rPr>
        <w:t>(</w:t>
      </w:r>
      <w:r>
        <w:rPr>
          <w:rFonts w:cs="Calibri"/>
          <w:iCs/>
          <w:sz w:val="24"/>
          <w:szCs w:val="24"/>
        </w:rPr>
        <w:t>4</w:t>
      </w:r>
      <w:r>
        <w:rPr>
          <w:rFonts w:cs="Calibri"/>
          <w:sz w:val="24"/>
          <w:szCs w:val="24"/>
        </w:rPr>
        <w:t xml:space="preserve">), 119-135. </w:t>
      </w:r>
      <w:hyperlink r:id="rId34" w:history="1">
        <w:r>
          <w:rPr>
            <w:rStyle w:val="Hipervnculo"/>
            <w:rFonts w:cs="Calibri"/>
            <w:sz w:val="24"/>
            <w:szCs w:val="24"/>
          </w:rPr>
          <w:t>https://doi.org/10.5130/IJCRE.V4I0.1773</w:t>
        </w:r>
      </w:hyperlink>
      <w:r>
        <w:rPr>
          <w:rFonts w:cs="Calibri"/>
          <w:sz w:val="24"/>
          <w:szCs w:val="24"/>
        </w:rPr>
        <w:t xml:space="preserve"> </w:t>
      </w:r>
    </w:p>
    <w:p w:rsidR="008B4D7C" w:rsidRDefault="00D829E8">
      <w:pPr>
        <w:spacing w:after="0"/>
        <w:ind w:left="851" w:hanging="851"/>
        <w:jc w:val="both"/>
        <w:rPr>
          <w:rFonts w:cs="Calibri"/>
          <w:sz w:val="24"/>
          <w:szCs w:val="24"/>
          <w:lang w:val="es-ES"/>
        </w:rPr>
      </w:pPr>
      <w:r>
        <w:rPr>
          <w:rFonts w:cs="Calibri"/>
          <w:sz w:val="24"/>
          <w:szCs w:val="24"/>
          <w:lang w:val="es-ES"/>
        </w:rPr>
        <w:t>Roque, H. (2025). Hacia un nuevo contrato social en educación. </w:t>
      </w:r>
      <w:r>
        <w:rPr>
          <w:rFonts w:cs="Calibri"/>
          <w:i/>
          <w:iCs/>
          <w:sz w:val="24"/>
          <w:szCs w:val="24"/>
          <w:lang w:val="es-ES"/>
        </w:rPr>
        <w:t>Simbiosis</w:t>
      </w:r>
      <w:r>
        <w:rPr>
          <w:rFonts w:cs="Calibri"/>
          <w:sz w:val="24"/>
          <w:szCs w:val="24"/>
          <w:lang w:val="es-ES"/>
        </w:rPr>
        <w:t>, </w:t>
      </w:r>
      <w:r>
        <w:rPr>
          <w:rFonts w:cs="Calibri"/>
          <w:i/>
          <w:iCs/>
          <w:sz w:val="24"/>
          <w:szCs w:val="24"/>
          <w:lang w:val="es-ES"/>
        </w:rPr>
        <w:t>5</w:t>
      </w:r>
      <w:r>
        <w:rPr>
          <w:rFonts w:cs="Calibri"/>
          <w:sz w:val="24"/>
          <w:szCs w:val="24"/>
          <w:lang w:val="es-ES"/>
        </w:rPr>
        <w:t>(9), 206-211. </w:t>
      </w:r>
      <w:hyperlink r:id="rId35" w:history="1">
        <w:r>
          <w:rPr>
            <w:rStyle w:val="Hipervnculo"/>
            <w:rFonts w:cs="Calibri"/>
            <w:sz w:val="24"/>
            <w:szCs w:val="24"/>
            <w:lang w:val="es-ES"/>
          </w:rPr>
          <w:t>https://doi.org/10.59993/simbiosis.V.5i9.75</w:t>
        </w:r>
      </w:hyperlink>
    </w:p>
    <w:p w:rsidR="008B4D7C" w:rsidRDefault="00D829E8">
      <w:pPr>
        <w:spacing w:after="120"/>
        <w:ind w:left="851" w:hanging="851"/>
        <w:jc w:val="both"/>
        <w:rPr>
          <w:rFonts w:cs="Calibri"/>
          <w:sz w:val="24"/>
          <w:szCs w:val="24"/>
        </w:rPr>
      </w:pPr>
      <w:proofErr w:type="spellStart"/>
      <w:r>
        <w:rPr>
          <w:rFonts w:cs="Calibri"/>
          <w:sz w:val="24"/>
          <w:szCs w:val="24"/>
        </w:rPr>
        <w:t>Stensaker</w:t>
      </w:r>
      <w:proofErr w:type="spellEnd"/>
      <w:r>
        <w:rPr>
          <w:rFonts w:cs="Calibri"/>
          <w:sz w:val="24"/>
          <w:szCs w:val="24"/>
        </w:rPr>
        <w:t>, B. (2018). University Alliances: Enhancing Contr</w:t>
      </w:r>
      <w:r>
        <w:rPr>
          <w:rFonts w:cs="Calibri"/>
          <w:sz w:val="24"/>
          <w:szCs w:val="24"/>
        </w:rPr>
        <w:t xml:space="preserve">ol, Capacity, and Creativity in Dynamic Environments. </w:t>
      </w:r>
      <w:r>
        <w:rPr>
          <w:rFonts w:cs="Calibri"/>
          <w:i/>
          <w:iCs/>
          <w:sz w:val="24"/>
          <w:szCs w:val="24"/>
        </w:rPr>
        <w:t xml:space="preserve">Educational Studies, </w:t>
      </w:r>
      <w:r>
        <w:rPr>
          <w:rFonts w:cs="Calibri"/>
          <w:iCs/>
          <w:sz w:val="24"/>
          <w:szCs w:val="24"/>
        </w:rPr>
        <w:t>(13)</w:t>
      </w:r>
      <w:r>
        <w:rPr>
          <w:rFonts w:cs="Calibri"/>
          <w:sz w:val="24"/>
          <w:szCs w:val="24"/>
        </w:rPr>
        <w:t xml:space="preserve">, 132-153. </w:t>
      </w:r>
      <w:hyperlink r:id="rId36" w:history="1">
        <w:r>
          <w:rPr>
            <w:rStyle w:val="Hipervnculo"/>
            <w:rFonts w:cs="Calibri"/>
            <w:sz w:val="24"/>
            <w:szCs w:val="24"/>
          </w:rPr>
          <w:t>https://doi.org/10.17323/1814-9545-2018-1-132-153</w:t>
        </w:r>
      </w:hyperlink>
      <w:r>
        <w:rPr>
          <w:rFonts w:cs="Calibri"/>
          <w:sz w:val="24"/>
          <w:szCs w:val="24"/>
        </w:rPr>
        <w:t xml:space="preserve"> </w:t>
      </w:r>
    </w:p>
    <w:p w:rsidR="008B4D7C" w:rsidRDefault="00D829E8">
      <w:pPr>
        <w:spacing w:after="0"/>
        <w:ind w:left="851" w:hanging="851"/>
        <w:jc w:val="both"/>
        <w:rPr>
          <w:rFonts w:cs="Calibri"/>
          <w:sz w:val="24"/>
          <w:szCs w:val="24"/>
        </w:rPr>
      </w:pPr>
      <w:r>
        <w:rPr>
          <w:rFonts w:cs="Calibri"/>
          <w:sz w:val="24"/>
          <w:szCs w:val="24"/>
        </w:rPr>
        <w:t>United Nations Educational, Scientific and Cultur</w:t>
      </w:r>
      <w:r>
        <w:rPr>
          <w:rFonts w:cs="Calibri"/>
          <w:sz w:val="24"/>
          <w:szCs w:val="24"/>
        </w:rPr>
        <w:t xml:space="preserve">al Organization (UNESCO). (2020). </w:t>
      </w:r>
      <w:r>
        <w:rPr>
          <w:rFonts w:cs="Calibri"/>
          <w:i/>
          <w:iCs/>
          <w:sz w:val="24"/>
          <w:szCs w:val="24"/>
        </w:rPr>
        <w:t>AI and education: Guidance for policy-makers</w:t>
      </w:r>
      <w:r>
        <w:rPr>
          <w:rFonts w:cs="Calibri"/>
          <w:sz w:val="24"/>
          <w:szCs w:val="24"/>
        </w:rPr>
        <w:t xml:space="preserve">. </w:t>
      </w:r>
      <w:hyperlink r:id="rId37" w:tgtFrame="_blank" w:history="1">
        <w:r>
          <w:rPr>
            <w:rStyle w:val="Hipervnculo"/>
            <w:rFonts w:cs="Calibri"/>
            <w:sz w:val="24"/>
            <w:szCs w:val="24"/>
          </w:rPr>
          <w:t>https://unesdoc.unesco.org/ark:/48223/pf0000376709</w:t>
        </w:r>
      </w:hyperlink>
    </w:p>
    <w:p w:rsidR="008B4D7C" w:rsidRDefault="00D829E8">
      <w:pPr>
        <w:widowControl/>
        <w:spacing w:after="120"/>
        <w:ind w:left="851" w:hanging="851"/>
        <w:jc w:val="both"/>
        <w:rPr>
          <w:rFonts w:cs="Calibri"/>
          <w:sz w:val="24"/>
          <w:szCs w:val="24"/>
          <w:lang w:val="es-ES"/>
        </w:rPr>
      </w:pPr>
      <w:proofErr w:type="spellStart"/>
      <w:r w:rsidRPr="00394907">
        <w:rPr>
          <w:rFonts w:cs="Calibri"/>
          <w:sz w:val="24"/>
          <w:szCs w:val="24"/>
          <w:lang w:val="es-ES"/>
        </w:rPr>
        <w:t>Vallaeys</w:t>
      </w:r>
      <w:proofErr w:type="spellEnd"/>
      <w:r w:rsidRPr="00394907">
        <w:rPr>
          <w:rFonts w:cs="Calibri"/>
          <w:sz w:val="24"/>
          <w:szCs w:val="24"/>
          <w:lang w:val="es-ES"/>
        </w:rPr>
        <w:t xml:space="preserve">, F., De la Cruz, C., &amp; </w:t>
      </w:r>
      <w:proofErr w:type="spellStart"/>
      <w:r w:rsidRPr="00394907">
        <w:rPr>
          <w:rFonts w:cs="Calibri"/>
          <w:sz w:val="24"/>
          <w:szCs w:val="24"/>
          <w:lang w:val="es-ES"/>
        </w:rPr>
        <w:t>Sasia</w:t>
      </w:r>
      <w:proofErr w:type="spellEnd"/>
      <w:r w:rsidRPr="00394907">
        <w:rPr>
          <w:rFonts w:cs="Calibri"/>
          <w:sz w:val="24"/>
          <w:szCs w:val="24"/>
          <w:lang w:val="es-ES"/>
        </w:rPr>
        <w:t>, P. M. (</w:t>
      </w:r>
      <w:r w:rsidRPr="00394907">
        <w:rPr>
          <w:rFonts w:cs="Calibri"/>
          <w:sz w:val="24"/>
          <w:szCs w:val="24"/>
          <w:lang w:val="es-ES"/>
        </w:rPr>
        <w:t xml:space="preserve">2009). </w:t>
      </w:r>
      <w:r w:rsidRPr="00394907">
        <w:rPr>
          <w:rFonts w:cs="Calibri"/>
          <w:i/>
          <w:iCs/>
          <w:sz w:val="24"/>
          <w:szCs w:val="24"/>
          <w:lang w:val="es-ES"/>
        </w:rPr>
        <w:t>Responsabilidad socia</w:t>
      </w:r>
      <w:r>
        <w:rPr>
          <w:rFonts w:cs="Calibri"/>
          <w:i/>
          <w:iCs/>
          <w:sz w:val="24"/>
          <w:szCs w:val="24"/>
          <w:lang w:val="es-ES"/>
        </w:rPr>
        <w:t>l universitaria: Manual de primeros pasos</w:t>
      </w:r>
      <w:r>
        <w:rPr>
          <w:rFonts w:cs="Calibri"/>
          <w:sz w:val="24"/>
          <w:szCs w:val="24"/>
          <w:lang w:val="es-ES"/>
        </w:rPr>
        <w:t xml:space="preserve">. </w:t>
      </w:r>
      <w:hyperlink r:id="rId38" w:history="1">
        <w:r>
          <w:rPr>
            <w:rStyle w:val="Hipervnculo"/>
            <w:rFonts w:cs="Calibri"/>
            <w:sz w:val="24"/>
            <w:szCs w:val="24"/>
            <w:lang w:val="es-ES"/>
          </w:rPr>
          <w:t>https://academic.oup.com/book/52097</w:t>
        </w:r>
      </w:hyperlink>
      <w:r>
        <w:rPr>
          <w:rFonts w:cs="Calibri"/>
          <w:sz w:val="24"/>
          <w:szCs w:val="24"/>
          <w:lang w:val="es-ES"/>
        </w:rPr>
        <w:t xml:space="preserve">  </w:t>
      </w:r>
    </w:p>
    <w:p w:rsidR="008B4D7C" w:rsidRDefault="00D829E8">
      <w:pPr>
        <w:widowControl/>
        <w:spacing w:after="120"/>
        <w:ind w:left="851" w:hanging="851"/>
        <w:jc w:val="both"/>
        <w:rPr>
          <w:rFonts w:cs="Calibri"/>
          <w:sz w:val="24"/>
          <w:szCs w:val="24"/>
        </w:rPr>
      </w:pPr>
      <w:proofErr w:type="spellStart"/>
      <w:r>
        <w:rPr>
          <w:rFonts w:cs="Calibri"/>
          <w:sz w:val="24"/>
          <w:szCs w:val="24"/>
          <w:lang w:val="es-ES"/>
        </w:rPr>
        <w:t>Vigotsky</w:t>
      </w:r>
      <w:proofErr w:type="spellEnd"/>
      <w:r>
        <w:rPr>
          <w:rFonts w:cs="Calibri"/>
          <w:sz w:val="24"/>
          <w:szCs w:val="24"/>
          <w:lang w:val="es-ES"/>
        </w:rPr>
        <w:t xml:space="preserve">, L. S. (1987). </w:t>
      </w:r>
      <w:r>
        <w:rPr>
          <w:rFonts w:cs="Calibri"/>
          <w:i/>
          <w:sz w:val="24"/>
          <w:szCs w:val="24"/>
          <w:lang w:val="es-ES"/>
        </w:rPr>
        <w:t>Historia del desarrollo de las funciones psíquicas superiores</w:t>
      </w:r>
      <w:r>
        <w:rPr>
          <w:rFonts w:cs="Calibri"/>
          <w:sz w:val="24"/>
          <w:szCs w:val="24"/>
          <w:lang w:val="es-ES"/>
        </w:rPr>
        <w:t xml:space="preserve">. </w:t>
      </w:r>
      <w:r>
        <w:rPr>
          <w:rFonts w:cs="Calibri"/>
          <w:sz w:val="24"/>
          <w:szCs w:val="24"/>
        </w:rPr>
        <w:t>La Haban</w:t>
      </w:r>
      <w:r>
        <w:rPr>
          <w:rFonts w:cs="Calibri"/>
          <w:sz w:val="24"/>
          <w:szCs w:val="24"/>
        </w:rPr>
        <w:t xml:space="preserve">a: </w:t>
      </w:r>
      <w:proofErr w:type="spellStart"/>
      <w:r>
        <w:rPr>
          <w:rFonts w:cs="Calibri"/>
          <w:sz w:val="24"/>
          <w:szCs w:val="24"/>
        </w:rPr>
        <w:t>Científico-Técnica</w:t>
      </w:r>
      <w:proofErr w:type="spellEnd"/>
      <w:r>
        <w:rPr>
          <w:rFonts w:cs="Calibri"/>
          <w:sz w:val="24"/>
          <w:szCs w:val="24"/>
        </w:rPr>
        <w:t>.</w:t>
      </w:r>
    </w:p>
    <w:p w:rsidR="008B4D7C" w:rsidRDefault="00D829E8">
      <w:pPr>
        <w:widowControl/>
        <w:spacing w:after="120"/>
        <w:ind w:left="851" w:hanging="851"/>
        <w:jc w:val="both"/>
        <w:rPr>
          <w:rFonts w:cs="Calibri"/>
          <w:sz w:val="24"/>
          <w:szCs w:val="24"/>
        </w:rPr>
      </w:pPr>
      <w:r>
        <w:rPr>
          <w:rFonts w:cs="Calibri"/>
          <w:sz w:val="24"/>
          <w:szCs w:val="24"/>
        </w:rPr>
        <w:t xml:space="preserve">Weiss, C. H. (1995). Nothing as practical as a good theory: Exploring theory-based evaluation for comprehensive community initiatives. </w:t>
      </w:r>
      <w:proofErr w:type="spellStart"/>
      <w:r>
        <w:rPr>
          <w:rFonts w:cs="Calibri"/>
          <w:sz w:val="24"/>
          <w:szCs w:val="24"/>
        </w:rPr>
        <w:t>En</w:t>
      </w:r>
      <w:proofErr w:type="spellEnd"/>
      <w:r>
        <w:rPr>
          <w:rFonts w:cs="Calibri"/>
          <w:sz w:val="24"/>
          <w:szCs w:val="24"/>
        </w:rPr>
        <w:t xml:space="preserve"> J. P. Connell, A. C. </w:t>
      </w:r>
      <w:proofErr w:type="spellStart"/>
      <w:r>
        <w:rPr>
          <w:rFonts w:cs="Calibri"/>
          <w:sz w:val="24"/>
          <w:szCs w:val="24"/>
        </w:rPr>
        <w:t>Kubisch</w:t>
      </w:r>
      <w:proofErr w:type="spellEnd"/>
      <w:r>
        <w:rPr>
          <w:rFonts w:cs="Calibri"/>
          <w:sz w:val="24"/>
          <w:szCs w:val="24"/>
        </w:rPr>
        <w:t xml:space="preserve">, L. B. </w:t>
      </w:r>
      <w:proofErr w:type="spellStart"/>
      <w:r>
        <w:rPr>
          <w:rFonts w:cs="Calibri"/>
          <w:sz w:val="24"/>
          <w:szCs w:val="24"/>
        </w:rPr>
        <w:t>Schorr</w:t>
      </w:r>
      <w:proofErr w:type="spellEnd"/>
      <w:r>
        <w:rPr>
          <w:rFonts w:cs="Calibri"/>
          <w:sz w:val="24"/>
          <w:szCs w:val="24"/>
        </w:rPr>
        <w:t xml:space="preserve">, &amp; C. H. Weiss (Eds.), </w:t>
      </w:r>
      <w:r>
        <w:rPr>
          <w:rFonts w:cs="Calibri"/>
          <w:i/>
          <w:iCs/>
          <w:sz w:val="24"/>
          <w:szCs w:val="24"/>
        </w:rPr>
        <w:t xml:space="preserve">New approaches to evaluating </w:t>
      </w:r>
      <w:r>
        <w:rPr>
          <w:rFonts w:cs="Calibri"/>
          <w:i/>
          <w:iCs/>
          <w:sz w:val="24"/>
          <w:szCs w:val="24"/>
        </w:rPr>
        <w:t>community initiatives: Concepts, methods, and contexts</w:t>
      </w:r>
      <w:r>
        <w:rPr>
          <w:rFonts w:cs="Calibri"/>
          <w:sz w:val="24"/>
          <w:szCs w:val="24"/>
        </w:rPr>
        <w:t xml:space="preserve"> (pp. 65-92). The Aspen Institute.</w:t>
      </w:r>
    </w:p>
    <w:p w:rsidR="008B4D7C" w:rsidRPr="00394907" w:rsidRDefault="00D829E8">
      <w:pPr>
        <w:spacing w:after="0"/>
        <w:ind w:left="851" w:hanging="851"/>
        <w:jc w:val="both"/>
        <w:rPr>
          <w:rFonts w:cs="Calibri"/>
          <w:sz w:val="24"/>
          <w:szCs w:val="24"/>
        </w:rPr>
      </w:pPr>
      <w:bookmarkStart w:id="2" w:name="_Hlk208128257"/>
      <w:r>
        <w:rPr>
          <w:rFonts w:cs="Calibri"/>
          <w:sz w:val="24"/>
          <w:szCs w:val="24"/>
        </w:rPr>
        <w:t xml:space="preserve">Whitley, R. (2012). </w:t>
      </w:r>
      <w:bookmarkEnd w:id="2"/>
      <w:r>
        <w:rPr>
          <w:rFonts w:cs="Calibri"/>
          <w:sz w:val="24"/>
          <w:szCs w:val="24"/>
        </w:rPr>
        <w:t xml:space="preserve">Transforming Universities: National Conditions of their Varied </w:t>
      </w:r>
      <w:proofErr w:type="spellStart"/>
      <w:r>
        <w:rPr>
          <w:rFonts w:cs="Calibri"/>
          <w:sz w:val="24"/>
          <w:szCs w:val="24"/>
        </w:rPr>
        <w:t>Organisational</w:t>
      </w:r>
      <w:proofErr w:type="spellEnd"/>
      <w:r>
        <w:rPr>
          <w:rFonts w:cs="Calibri"/>
          <w:sz w:val="24"/>
          <w:szCs w:val="24"/>
        </w:rPr>
        <w:t xml:space="preserve"> </w:t>
      </w:r>
      <w:proofErr w:type="spellStart"/>
      <w:r>
        <w:rPr>
          <w:rFonts w:cs="Calibri"/>
          <w:sz w:val="24"/>
          <w:szCs w:val="24"/>
        </w:rPr>
        <w:t>Actorhood</w:t>
      </w:r>
      <w:proofErr w:type="spellEnd"/>
      <w:r>
        <w:rPr>
          <w:rFonts w:cs="Calibri"/>
          <w:sz w:val="24"/>
          <w:szCs w:val="24"/>
        </w:rPr>
        <w:t xml:space="preserve">. </w:t>
      </w:r>
      <w:r w:rsidRPr="00394907">
        <w:rPr>
          <w:rFonts w:cs="Calibri"/>
          <w:i/>
          <w:iCs/>
          <w:sz w:val="24"/>
          <w:szCs w:val="24"/>
        </w:rPr>
        <w:t xml:space="preserve">Minerva, </w:t>
      </w:r>
      <w:r w:rsidRPr="00394907">
        <w:rPr>
          <w:rFonts w:cs="Calibri"/>
          <w:iCs/>
          <w:sz w:val="24"/>
          <w:szCs w:val="24"/>
        </w:rPr>
        <w:t>(50)</w:t>
      </w:r>
      <w:r w:rsidRPr="00394907">
        <w:rPr>
          <w:rFonts w:cs="Calibri"/>
          <w:sz w:val="24"/>
          <w:szCs w:val="24"/>
        </w:rPr>
        <w:t xml:space="preserve">, 493 - 510. </w:t>
      </w:r>
      <w:hyperlink r:id="rId39" w:history="1">
        <w:r w:rsidRPr="00394907">
          <w:rPr>
            <w:rStyle w:val="Hipervnculo"/>
            <w:rFonts w:cs="Calibri"/>
            <w:sz w:val="24"/>
            <w:szCs w:val="24"/>
          </w:rPr>
          <w:t>https://doi.org/10.1007/s11024-012-9215-5</w:t>
        </w:r>
      </w:hyperlink>
      <w:r w:rsidRPr="00394907">
        <w:rPr>
          <w:rFonts w:cs="Calibri"/>
          <w:sz w:val="24"/>
          <w:szCs w:val="24"/>
        </w:rPr>
        <w:t xml:space="preserve"> </w:t>
      </w:r>
    </w:p>
    <w:p w:rsidR="008B4D7C" w:rsidRDefault="00D829E8">
      <w:pPr>
        <w:spacing w:after="120"/>
        <w:ind w:right="50"/>
        <w:jc w:val="both"/>
        <w:rPr>
          <w:rFonts w:eastAsia="Arial" w:cs="Calibri"/>
          <w:b/>
          <w:bCs/>
          <w:sz w:val="24"/>
          <w:szCs w:val="24"/>
        </w:rPr>
      </w:pPr>
      <w:r>
        <w:rPr>
          <w:rFonts w:eastAsia="Arial" w:cs="Calibri"/>
          <w:b/>
          <w:bCs/>
          <w:sz w:val="24"/>
          <w:szCs w:val="24"/>
        </w:rPr>
        <w:t>Conflict of interest:</w:t>
      </w:r>
    </w:p>
    <w:p w:rsidR="008B4D7C" w:rsidRDefault="00D829E8">
      <w:pPr>
        <w:spacing w:after="240"/>
        <w:ind w:right="50"/>
        <w:jc w:val="both"/>
        <w:rPr>
          <w:rFonts w:eastAsia="Arial" w:cs="Calibri"/>
          <w:b/>
          <w:bCs/>
          <w:sz w:val="24"/>
          <w:szCs w:val="24"/>
        </w:rPr>
      </w:pPr>
      <w:r>
        <w:rPr>
          <w:rStyle w:val="Hipervnculo"/>
          <w:rFonts w:cs="SimSun"/>
          <w:color w:val="auto"/>
          <w:sz w:val="24"/>
          <w:szCs w:val="24"/>
          <w:u w:val="none"/>
        </w:rPr>
        <w:t>There are no conflicts of interest that could have influenced the results obtained or the interpretations proposed.</w:t>
      </w:r>
    </w:p>
    <w:p w:rsidR="008B4D7C" w:rsidRDefault="00D829E8">
      <w:pPr>
        <w:spacing w:after="120"/>
        <w:ind w:right="50"/>
        <w:jc w:val="both"/>
        <w:rPr>
          <w:rStyle w:val="Hipervnculo"/>
          <w:rFonts w:cs="SimSun"/>
          <w:b/>
          <w:color w:val="auto"/>
          <w:sz w:val="24"/>
          <w:szCs w:val="24"/>
          <w:u w:val="none"/>
        </w:rPr>
      </w:pPr>
      <w:r>
        <w:rPr>
          <w:rFonts w:eastAsia="Arial" w:cs="Calibri"/>
          <w:b/>
          <w:bCs/>
          <w:sz w:val="24"/>
          <w:szCs w:val="24"/>
        </w:rPr>
        <w:t xml:space="preserve">Biographical </w:t>
      </w:r>
      <w:r>
        <w:rPr>
          <w:rFonts w:eastAsia="Arial" w:cs="Calibri"/>
          <w:b/>
          <w:bCs/>
          <w:sz w:val="24"/>
          <w:szCs w:val="24"/>
        </w:rPr>
        <w:t>summary:</w:t>
      </w:r>
    </w:p>
    <w:p w:rsidR="008B4D7C" w:rsidRDefault="00D829E8">
      <w:pPr>
        <w:spacing w:after="0"/>
        <w:ind w:right="50"/>
        <w:jc w:val="both"/>
        <w:rPr>
          <w:rFonts w:eastAsia="Arial" w:cs="Calibri"/>
          <w:bCs/>
          <w:sz w:val="24"/>
          <w:szCs w:val="24"/>
        </w:rPr>
      </w:pPr>
      <w:proofErr w:type="spellStart"/>
      <w:r>
        <w:rPr>
          <w:sz w:val="24"/>
          <w:szCs w:val="24"/>
        </w:rPr>
        <w:t>Dilenia</w:t>
      </w:r>
      <w:proofErr w:type="spellEnd"/>
      <w:r>
        <w:rPr>
          <w:sz w:val="24"/>
          <w:szCs w:val="24"/>
        </w:rPr>
        <w:t xml:space="preserve"> </w:t>
      </w:r>
      <w:proofErr w:type="spellStart"/>
      <w:r>
        <w:rPr>
          <w:sz w:val="24"/>
          <w:szCs w:val="24"/>
        </w:rPr>
        <w:t>Lizardo</w:t>
      </w:r>
      <w:proofErr w:type="spellEnd"/>
      <w:r>
        <w:rPr>
          <w:sz w:val="24"/>
          <w:szCs w:val="24"/>
        </w:rPr>
        <w:t xml:space="preserve"> Barrera, Degree in Marketing, Master's in University Teaching and Management. Director of Institutional Outreach at the Catholic University of Santo Domingo. </w:t>
      </w:r>
    </w:p>
    <w:p w:rsidR="008B4D7C" w:rsidRPr="00394907" w:rsidRDefault="008B4D7C">
      <w:pPr>
        <w:spacing w:after="240"/>
        <w:ind w:right="50"/>
        <w:jc w:val="both"/>
        <w:rPr>
          <w:rFonts w:eastAsia="Arial" w:cs="Calibri"/>
          <w:b/>
          <w:bCs/>
          <w:sz w:val="24"/>
          <w:szCs w:val="24"/>
        </w:rPr>
      </w:pPr>
    </w:p>
    <w:p w:rsidR="008B4D7C" w:rsidRPr="00394907" w:rsidRDefault="00D829E8">
      <w:pPr>
        <w:spacing w:after="240"/>
        <w:ind w:right="50"/>
        <w:jc w:val="both"/>
        <w:rPr>
          <w:rFonts w:cs="SimSun"/>
          <w:sz w:val="24"/>
          <w:szCs w:val="24"/>
        </w:rPr>
      </w:pPr>
      <w:r w:rsidRPr="00394907">
        <w:rPr>
          <w:rFonts w:eastAsia="Arial" w:cs="Calibri"/>
          <w:b/>
          <w:bCs/>
          <w:sz w:val="24"/>
          <w:szCs w:val="24"/>
        </w:rPr>
        <w:t>Edited by:</w:t>
      </w:r>
      <w:r w:rsidRPr="00394907">
        <w:rPr>
          <w:rFonts w:eastAsia="Arial" w:cs="Calibri"/>
          <w:bCs/>
          <w:sz w:val="24"/>
          <w:szCs w:val="24"/>
        </w:rPr>
        <w:t xml:space="preserve"> </w:t>
      </w:r>
      <w:r>
        <w:rPr>
          <w:rFonts w:cs="SimSun"/>
          <w:noProof/>
          <w:sz w:val="24"/>
          <w:szCs w:val="24"/>
          <w:lang w:val="es-ES" w:eastAsia="es-ES"/>
        </w:rPr>
        <mc:AlternateContent>
          <mc:Choice Requires="wpg">
            <w:drawing>
              <wp:anchor distT="0" distB="0" distL="0" distR="0" simplePos="0" relativeHeight="2" behindDoc="1" locked="0" layoutInCell="1" allowOverlap="1">
                <wp:simplePos x="0" y="0"/>
                <wp:positionH relativeFrom="margin">
                  <wp:posOffset>4281170</wp:posOffset>
                </wp:positionH>
                <wp:positionV relativeFrom="paragraph">
                  <wp:posOffset>151130</wp:posOffset>
                </wp:positionV>
                <wp:extent cx="1724025" cy="723900"/>
                <wp:effectExtent l="0" t="0" r="9525" b="0"/>
                <wp:wrapNone/>
                <wp:docPr id="1026"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24025" cy="723900"/>
                          <a:chOff x="0" y="-231012"/>
                          <a:chExt cx="1684619" cy="1350531"/>
                        </a:xfrm>
                      </wpg:grpSpPr>
                      <pic:pic xmlns:pic="http://schemas.openxmlformats.org/drawingml/2006/picture">
                        <pic:nvPicPr>
                          <pic:cNvPr id="1" name="Image"/>
                          <pic:cNvPicPr/>
                        </pic:nvPicPr>
                        <pic:blipFill>
                          <a:blip r:embed="rId40" cstate="print"/>
                          <a:srcRect/>
                          <a:stretch/>
                        </pic:blipFill>
                        <pic:spPr>
                          <a:xfrm>
                            <a:off x="865578" y="-231012"/>
                            <a:ext cx="819041" cy="1350531"/>
                          </a:xfrm>
                          <a:prstGeom prst="rect">
                            <a:avLst/>
                          </a:prstGeom>
                          <a:ln>
                            <a:noFill/>
                          </a:ln>
                        </pic:spPr>
                      </pic:pic>
                      <pic:pic xmlns:pic="http://schemas.openxmlformats.org/drawingml/2006/picture">
                        <pic:nvPicPr>
                          <pic:cNvPr id="2" name="Image"/>
                          <pic:cNvPicPr/>
                        </pic:nvPicPr>
                        <pic:blipFill>
                          <a:blip r:embed="rId41" cstate="print"/>
                          <a:srcRect/>
                          <a:stretch/>
                        </pic:blipFill>
                        <pic:spPr>
                          <a:xfrm>
                            <a:off x="0" y="0"/>
                            <a:ext cx="809625" cy="995128"/>
                          </a:xfrm>
                          <a:prstGeom prst="rect">
                            <a:avLst/>
                          </a:prstGeom>
                          <a:ln>
                            <a:noFill/>
                          </a:ln>
                        </pic:spPr>
                      </pic:pic>
                    </wpg:wgp>
                  </a:graphicData>
                </a:graphic>
                <wp14:sizeRelH relativeFrom="margin">
                  <wp14:pctWidth>0</wp14:pctWidth>
                </wp14:sizeRelH>
                <wp14:sizeRelV relativeFrom="margin">
                  <wp14:pctHeight>0</wp14:pctHeight>
                </wp14:sizeRelV>
              </wp:anchor>
            </w:drawing>
          </mc:Choice>
          <mc:Fallback xmlns:wpsCustomData="http://www.wps.cn/officeDocument/2013/wpsCustomData">
            <w:pict>
              <v:group id="1026" filled="f" stroked="f" style="position:absolute;margin-left:337.1pt;margin-top:11.9pt;width:135.75pt;height:57.0pt;z-index:-2147483645;mso-position-horizontal-relative:margin;mso-position-vertical-relative:text;mso-width-percent:0;mso-height-percent:0;mso-width-relative:margin;mso-height-relative:margin;mso-wrap-distance-left:0.0pt;mso-wrap-distance-right:0.0pt;visibility:visible;" coordsize="1684619,1350531" coordorigin="0,-231012">
                <v:shape id="1027" type="#_x0000_t75" filled="f" stroked="f" style="position:absolute;left:865578;top:-231012;width:819041;height:1350531;z-index:2;mso-position-horizontal-relative:page;mso-position-vertical-relative:page;mso-width-relative:page;mso-height-relative:page;visibility:visible;">
                  <v:imagedata r:id="rId42" embosscolor="white" o:title=""/>
                  <v:stroke on="f"/>
                  <v:fill/>
                </v:shape>
                <v:shape id="1028" type="#_x0000_t75" filled="f" stroked="f" style="position:absolute;left:0;top:0;width:809625;height:995128;z-index:3;mso-position-horizontal-relative:page;mso-position-vertical-relative:page;mso-width-relative:page;mso-height-relative:page;visibility:visible;">
                  <v:imagedata r:id="rId43" embosscolor="white" o:title=""/>
                  <v:stroke on="f"/>
                  <v:fill/>
                </v:shape>
                <v:fill/>
              </v:group>
            </w:pict>
          </mc:Fallback>
        </mc:AlternateContent>
      </w:r>
      <w:r>
        <w:rPr>
          <w:rFonts w:cs="SimSun"/>
          <w:noProof/>
          <w:sz w:val="24"/>
          <w:szCs w:val="24"/>
          <w:lang w:eastAsia="es-ES"/>
        </w:rPr>
        <w:t>Sc. D.</w:t>
      </w:r>
      <w:r w:rsidRPr="00394907">
        <w:rPr>
          <w:rFonts w:eastAsia="Arial" w:cs="Calibri"/>
          <w:bCs/>
          <w:sz w:val="24"/>
          <w:szCs w:val="24"/>
        </w:rPr>
        <w:t xml:space="preserve"> Manuel N. Montejo Lorenzo, translated by </w:t>
      </w:r>
      <w:r>
        <w:rPr>
          <w:rFonts w:eastAsia="Arial" w:cs="Calibri"/>
          <w:bCs/>
          <w:sz w:val="24"/>
          <w:szCs w:val="24"/>
        </w:rPr>
        <w:t>B.A</w:t>
      </w:r>
      <w:r w:rsidRPr="00394907">
        <w:rPr>
          <w:rFonts w:eastAsia="Arial" w:cs="Calibri"/>
          <w:bCs/>
          <w:sz w:val="24"/>
          <w:szCs w:val="24"/>
        </w:rPr>
        <w:t xml:space="preserve">. </w:t>
      </w:r>
      <w:proofErr w:type="spellStart"/>
      <w:r w:rsidRPr="00394907">
        <w:rPr>
          <w:rFonts w:eastAsia="Arial" w:cs="Calibri"/>
          <w:bCs/>
          <w:sz w:val="24"/>
          <w:szCs w:val="24"/>
        </w:rPr>
        <w:t>Yailén</w:t>
      </w:r>
      <w:proofErr w:type="spellEnd"/>
      <w:r w:rsidRPr="00394907">
        <w:rPr>
          <w:rFonts w:eastAsia="Arial" w:cs="Calibri"/>
          <w:bCs/>
          <w:sz w:val="24"/>
          <w:szCs w:val="24"/>
        </w:rPr>
        <w:t xml:space="preserve"> </w:t>
      </w:r>
      <w:proofErr w:type="spellStart"/>
      <w:r w:rsidRPr="00394907">
        <w:rPr>
          <w:rFonts w:eastAsia="Arial" w:cs="Calibri"/>
          <w:bCs/>
          <w:sz w:val="24"/>
          <w:szCs w:val="24"/>
        </w:rPr>
        <w:t>Fernández</w:t>
      </w:r>
      <w:proofErr w:type="spellEnd"/>
      <w:r w:rsidRPr="00394907">
        <w:rPr>
          <w:rFonts w:eastAsia="Arial" w:cs="Calibri"/>
          <w:bCs/>
          <w:sz w:val="24"/>
          <w:szCs w:val="24"/>
        </w:rPr>
        <w:t xml:space="preserve"> Daniel</w:t>
      </w:r>
    </w:p>
    <w:tbl>
      <w:tblPr>
        <w:tblStyle w:val="Tablaconcuadrcula"/>
        <w:tblpPr w:leftFromText="141" w:rightFromText="141" w:vertAnchor="text" w:tblpXSpec="center" w:tblpY="1"/>
        <w:tblOverlap w:val="nev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1554"/>
        <w:gridCol w:w="1281"/>
      </w:tblGrid>
      <w:tr w:rsidR="008B4D7C">
        <w:tc>
          <w:tcPr>
            <w:tcW w:w="6663" w:type="dxa"/>
            <w:vAlign w:val="center"/>
          </w:tcPr>
          <w:p w:rsidR="008B4D7C" w:rsidRPr="00394907" w:rsidRDefault="00D829E8">
            <w:pPr>
              <w:spacing w:after="0"/>
              <w:jc w:val="both"/>
              <w:rPr>
                <w:sz w:val="18"/>
                <w:szCs w:val="18"/>
              </w:rPr>
            </w:pPr>
            <w:r w:rsidRPr="00394907">
              <w:rPr>
                <w:sz w:val="18"/>
                <w:szCs w:val="18"/>
              </w:rPr>
              <w:t xml:space="preserve">This is an Open Access article distributed under the terms of the Creative Commons License: </w:t>
            </w:r>
            <w:hyperlink r:id="rId44" w:history="1">
              <w:r w:rsidRPr="00394907">
                <w:rPr>
                  <w:rStyle w:val="Hipervnculo"/>
                  <w:sz w:val="18"/>
                  <w:szCs w:val="18"/>
                </w:rPr>
                <w:t>https://creativecomons.org/licenses/by-nc/4.0/deed.es_ES</w:t>
              </w:r>
            </w:hyperlink>
            <w:r w:rsidRPr="00394907">
              <w:rPr>
                <w:sz w:val="18"/>
                <w:szCs w:val="18"/>
              </w:rPr>
              <w:t xml:space="preserve"> which permits no</w:t>
            </w:r>
            <w:r w:rsidRPr="00394907">
              <w:rPr>
                <w:sz w:val="18"/>
                <w:szCs w:val="18"/>
              </w:rPr>
              <w:t>n-commercial use, distribution and reproduction without restriction in any medium, provided that the primary source of publication is properly cited.</w:t>
            </w:r>
          </w:p>
        </w:tc>
        <w:tc>
          <w:tcPr>
            <w:tcW w:w="1554" w:type="dxa"/>
          </w:tcPr>
          <w:p w:rsidR="008B4D7C" w:rsidRPr="00394907" w:rsidRDefault="008B4D7C">
            <w:pPr>
              <w:spacing w:after="0"/>
              <w:jc w:val="both"/>
              <w:rPr>
                <w:sz w:val="24"/>
                <w:szCs w:val="24"/>
              </w:rPr>
            </w:pPr>
          </w:p>
        </w:tc>
        <w:tc>
          <w:tcPr>
            <w:tcW w:w="1281" w:type="dxa"/>
          </w:tcPr>
          <w:p w:rsidR="008B4D7C" w:rsidRPr="00394907" w:rsidRDefault="008B4D7C">
            <w:pPr>
              <w:spacing w:after="0"/>
              <w:jc w:val="both"/>
              <w:rPr>
                <w:sz w:val="24"/>
                <w:szCs w:val="24"/>
              </w:rPr>
            </w:pPr>
          </w:p>
        </w:tc>
      </w:tr>
    </w:tbl>
    <w:p w:rsidR="008B4D7C" w:rsidRPr="00394907" w:rsidRDefault="008B4D7C">
      <w:pPr>
        <w:rPr>
          <w:rFonts w:cs="SimSun"/>
          <w:sz w:val="24"/>
          <w:szCs w:val="24"/>
        </w:rPr>
      </w:pPr>
    </w:p>
    <w:sectPr w:rsidR="008B4D7C" w:rsidRPr="00394907">
      <w:headerReference w:type="even" r:id="rId45"/>
      <w:headerReference w:type="default" r:id="rId46"/>
      <w:footerReference w:type="even" r:id="rId47"/>
      <w:footerReference w:type="default" r:id="rId48"/>
      <w:headerReference w:type="first" r:id="rId49"/>
      <w:footerReference w:type="first" r:id="rId50"/>
      <w:pgSz w:w="12242" w:h="15842" w:code="1"/>
      <w:pgMar w:top="1418" w:right="1418" w:bottom="1418" w:left="1418" w:header="510" w:footer="431"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9E8" w:rsidRDefault="00D829E8">
      <w:pPr>
        <w:spacing w:after="0" w:line="240" w:lineRule="auto"/>
      </w:pPr>
      <w:r>
        <w:separator/>
      </w:r>
    </w:p>
  </w:endnote>
  <w:endnote w:type="continuationSeparator" w:id="0">
    <w:p w:rsidR="00D829E8" w:rsidRDefault="00D829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Roman">
    <w:altName w:val="Times-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altName w:val="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Gill Sans MT">
    <w:altName w:val="Gill Sans MT"/>
    <w:panose1 w:val="020B0502020104020203"/>
    <w:charset w:val="00"/>
    <w:family w:val="swiss"/>
    <w:pitch w:val="variable"/>
    <w:sig w:usb0="00000007" w:usb1="00000000" w:usb2="00000000" w:usb3="00000000" w:csb0="00000003" w:csb1="00000000"/>
  </w:font>
  <w:font w:name="Palatino Linotype">
    <w:altName w:val="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7C" w:rsidRDefault="00D829E8">
    <w:pPr>
      <w:pStyle w:val="Piedepgina"/>
      <w:jc w:val="right"/>
    </w:pPr>
    <w:r>
      <w:rPr>
        <w:noProof/>
        <w:lang w:val="es-ES" w:eastAsia="es-ES"/>
      </w:rPr>
      <w:drawing>
        <wp:anchor distT="0" distB="0" distL="114300" distR="114300" simplePos="0" relativeHeight="3" behindDoc="0" locked="0" layoutInCell="1" allowOverlap="1">
          <wp:simplePos x="0" y="0"/>
          <wp:positionH relativeFrom="margin">
            <wp:align>left</wp:align>
          </wp:positionH>
          <wp:positionV relativeFrom="paragraph">
            <wp:posOffset>-224790</wp:posOffset>
          </wp:positionV>
          <wp:extent cx="1569720" cy="527685"/>
          <wp:effectExtent l="0" t="0" r="0" b="5715"/>
          <wp:wrapSquare wrapText="bothSides"/>
          <wp:docPr id="4097"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cstate="print"/>
                  <a:srcRect/>
                  <a:stretch/>
                </pic:blipFill>
                <pic:spPr>
                  <a:xfrm>
                    <a:off x="0" y="0"/>
                    <a:ext cx="1569720" cy="527685"/>
                  </a:xfrm>
                  <a:prstGeom prst="rect">
                    <a:avLst/>
                  </a:prstGeom>
                </pic:spPr>
              </pic:pic>
            </a:graphicData>
          </a:graphic>
        </wp:anchor>
      </w:drawing>
    </w:r>
    <w:r>
      <w:fldChar w:fldCharType="begin"/>
    </w:r>
    <w:r>
      <w:instrText>PAGE   \* MERGEFORMAT</w:instrText>
    </w:r>
    <w:r>
      <w:fldChar w:fldCharType="separate"/>
    </w:r>
    <w:r w:rsidR="00394907" w:rsidRPr="00394907">
      <w:rPr>
        <w:noProof/>
        <w:lang w:val="es-ES"/>
      </w:rPr>
      <w:t>18</w:t>
    </w:r>
    <w:r>
      <w:fldChar w:fldCharType="end"/>
    </w:r>
  </w:p>
  <w:p w:rsidR="008B4D7C" w:rsidRDefault="008B4D7C">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7C" w:rsidRDefault="00D829E8">
    <w:pPr>
      <w:pStyle w:val="Piedepgina"/>
      <w:jc w:val="right"/>
    </w:pPr>
    <w:r>
      <w:rPr>
        <w:noProof/>
        <w:lang w:val="es-ES" w:eastAsia="es-ES"/>
      </w:rPr>
      <w:drawing>
        <wp:anchor distT="0" distB="0" distL="114300" distR="114300" simplePos="0" relativeHeight="4" behindDoc="0" locked="0" layoutInCell="1" allowOverlap="1">
          <wp:simplePos x="0" y="0"/>
          <wp:positionH relativeFrom="margin">
            <wp:align>left</wp:align>
          </wp:positionH>
          <wp:positionV relativeFrom="paragraph">
            <wp:posOffset>-234315</wp:posOffset>
          </wp:positionV>
          <wp:extent cx="1546860" cy="470873"/>
          <wp:effectExtent l="0" t="0" r="0" b="5715"/>
          <wp:wrapSquare wrapText="bothSides"/>
          <wp:docPr id="4098" name="Imagen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cstate="print"/>
                  <a:srcRect/>
                  <a:stretch/>
                </pic:blipFill>
                <pic:spPr>
                  <a:xfrm>
                    <a:off x="0" y="0"/>
                    <a:ext cx="1546860" cy="470873"/>
                  </a:xfrm>
                  <a:prstGeom prst="rect">
                    <a:avLst/>
                  </a:prstGeom>
                </pic:spPr>
              </pic:pic>
            </a:graphicData>
          </a:graphic>
        </wp:anchor>
      </w:drawing>
    </w:r>
    <w:r>
      <w:fldChar w:fldCharType="begin"/>
    </w:r>
    <w:r>
      <w:instrText>PAGE   \* MERGEFORMAT</w:instrText>
    </w:r>
    <w:r>
      <w:fldChar w:fldCharType="separate"/>
    </w:r>
    <w:r w:rsidR="00394907" w:rsidRPr="00394907">
      <w:rPr>
        <w:noProof/>
        <w:lang w:val="es-ES"/>
      </w:rPr>
      <w:t>19</w:t>
    </w:r>
    <w:r>
      <w:fldChar w:fldCharType="end"/>
    </w:r>
  </w:p>
  <w:p w:rsidR="008B4D7C" w:rsidRDefault="008B4D7C">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7C" w:rsidRDefault="00D829E8">
    <w:pPr>
      <w:pStyle w:val="Piedepgina"/>
      <w:jc w:val="center"/>
      <w:rPr>
        <w:rFonts w:ascii="Palatino Linotype" w:hAnsi="Palatino Linotype"/>
        <w:sz w:val="20"/>
        <w:szCs w:val="20"/>
        <w:lang w:val="es-US"/>
      </w:rPr>
    </w:pPr>
    <w:r>
      <w:rPr>
        <w:rFonts w:ascii="Palatino Linotype" w:hAnsi="Palatino Linotype"/>
        <w:sz w:val="20"/>
        <w:szCs w:val="20"/>
        <w:lang w:val="es-US"/>
      </w:rPr>
      <w:t>_____________________________________________________________________________________</w:t>
    </w:r>
  </w:p>
  <w:p w:rsidR="008B4D7C" w:rsidRDefault="00D829E8">
    <w:pPr>
      <w:pStyle w:val="Piedepgina"/>
      <w:jc w:val="center"/>
      <w:rPr>
        <w:rFonts w:ascii="Cambria" w:hAnsi="Cambria"/>
        <w:sz w:val="20"/>
        <w:szCs w:val="20"/>
        <w:lang w:val="es-US"/>
      </w:rPr>
    </w:pPr>
    <w:r>
      <w:rPr>
        <w:rFonts w:ascii="Cambria" w:hAnsi="Cambria"/>
        <w:noProof/>
        <w:lang w:val="es-ES" w:eastAsia="es-ES"/>
      </w:rPr>
      <w:drawing>
        <wp:anchor distT="0" distB="0" distL="114300" distR="114300" simplePos="0" relativeHeight="2" behindDoc="0" locked="0" layoutInCell="1" allowOverlap="1">
          <wp:simplePos x="0" y="0"/>
          <wp:positionH relativeFrom="margin">
            <wp:align>left</wp:align>
          </wp:positionH>
          <wp:positionV relativeFrom="paragraph">
            <wp:posOffset>33020</wp:posOffset>
          </wp:positionV>
          <wp:extent cx="1530985" cy="471170"/>
          <wp:effectExtent l="0" t="0" r="0" b="5080"/>
          <wp:wrapSquare wrapText="bothSides"/>
          <wp:docPr id="4100"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n 1"/>
                  <pic:cNvPicPr/>
                </pic:nvPicPr>
                <pic:blipFill>
                  <a:blip r:embed="rId1" cstate="print"/>
                  <a:srcRect/>
                  <a:stretch/>
                </pic:blipFill>
                <pic:spPr>
                  <a:xfrm>
                    <a:off x="0" y="0"/>
                    <a:ext cx="1530985" cy="471170"/>
                  </a:xfrm>
                  <a:prstGeom prst="rect">
                    <a:avLst/>
                  </a:prstGeom>
                </pic:spPr>
              </pic:pic>
            </a:graphicData>
          </a:graphic>
        </wp:anchor>
      </w:drawing>
    </w:r>
    <w:proofErr w:type="spellStart"/>
    <w:r>
      <w:rPr>
        <w:rFonts w:ascii="Cambria" w:hAnsi="Cambria"/>
        <w:sz w:val="20"/>
        <w:szCs w:val="20"/>
        <w:lang w:val="es-US"/>
      </w:rPr>
      <w:t>University</w:t>
    </w:r>
    <w:proofErr w:type="spellEnd"/>
    <w:r>
      <w:rPr>
        <w:rFonts w:ascii="Cambria" w:hAnsi="Cambria"/>
        <w:sz w:val="20"/>
        <w:szCs w:val="20"/>
        <w:lang w:val="es-US"/>
      </w:rPr>
      <w:t xml:space="preserve"> of Camagüey Ignacio Agramonte Loynaz</w:t>
    </w:r>
  </w:p>
  <w:p w:rsidR="008B4D7C" w:rsidRDefault="00D829E8">
    <w:pPr>
      <w:pStyle w:val="Piedepgina"/>
      <w:jc w:val="right"/>
      <w:rPr>
        <w:rFonts w:ascii="Palatino Linotype" w:hAnsi="Palatino Linotype"/>
        <w:sz w:val="20"/>
        <w:szCs w:val="20"/>
      </w:rPr>
    </w:pPr>
    <w:r>
      <w:rPr>
        <w:rFonts w:ascii="Palatino Linotype" w:hAnsi="Palatino Linotype"/>
        <w:sz w:val="20"/>
        <w:szCs w:val="20"/>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9E8" w:rsidRDefault="00D829E8">
      <w:pPr>
        <w:spacing w:after="0" w:line="240" w:lineRule="auto"/>
      </w:pPr>
      <w:r>
        <w:separator/>
      </w:r>
    </w:p>
  </w:footnote>
  <w:footnote w:type="continuationSeparator" w:id="0">
    <w:p w:rsidR="00D829E8" w:rsidRDefault="00D829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7C" w:rsidRDefault="00D829E8">
    <w:pPr>
      <w:pStyle w:val="Encabezado"/>
      <w:rPr>
        <w:rFonts w:ascii="Cambria" w:hAnsi="Cambria"/>
        <w:sz w:val="16"/>
        <w:szCs w:val="16"/>
        <w:lang w:val="es-ES"/>
      </w:rPr>
    </w:pPr>
    <w:r>
      <w:rPr>
        <w:rFonts w:ascii="Cambria" w:hAnsi="Cambria"/>
        <w:sz w:val="16"/>
        <w:szCs w:val="16"/>
        <w:lang w:val="es-ES"/>
      </w:rPr>
      <w:t>Lizardo</w:t>
    </w:r>
  </w:p>
  <w:p w:rsidR="008B4D7C" w:rsidRDefault="00D829E8">
    <w:pPr>
      <w:pStyle w:val="Encabezado"/>
      <w:rPr>
        <w:rFonts w:ascii="Cambria" w:hAnsi="Cambria"/>
        <w:b/>
        <w:bCs/>
        <w:color w:val="808080"/>
        <w:sz w:val="16"/>
        <w:szCs w:val="16"/>
        <w:lang w:val="es-US"/>
      </w:rPr>
    </w:pPr>
    <w:r>
      <w:rPr>
        <w:rFonts w:ascii="Cambria" w:hAnsi="Cambria"/>
        <w:i/>
        <w:color w:val="808080"/>
        <w:sz w:val="16"/>
        <w:szCs w:val="16"/>
        <w:lang w:val="es-ES_tradnl"/>
      </w:rPr>
      <w:t>Transformación</w:t>
    </w:r>
    <w:r>
      <w:rPr>
        <w:rFonts w:ascii="Cambria" w:hAnsi="Cambria"/>
        <w:color w:val="808080"/>
        <w:sz w:val="16"/>
        <w:szCs w:val="16"/>
        <w:lang w:val="es-ES_tradnl"/>
      </w:rPr>
      <w:t xml:space="preserve">, ISSN: </w:t>
    </w:r>
    <w:r>
      <w:rPr>
        <w:rFonts w:ascii="Cambria" w:hAnsi="Cambria"/>
        <w:color w:val="808080"/>
        <w:sz w:val="16"/>
        <w:szCs w:val="16"/>
        <w:lang w:val="es-ES_tradnl"/>
      </w:rPr>
      <w:t xml:space="preserve">2077-2955, RNPS: 2098. </w:t>
    </w:r>
    <w:proofErr w:type="spellStart"/>
    <w:r>
      <w:rPr>
        <w:rFonts w:ascii="Cambria" w:hAnsi="Cambria"/>
        <w:color w:val="808080"/>
        <w:sz w:val="16"/>
        <w:szCs w:val="16"/>
        <w:lang w:val="es-ES_tradnl"/>
      </w:rPr>
      <w:t>Continuous</w:t>
    </w:r>
    <w:proofErr w:type="spellEnd"/>
    <w:r>
      <w:rPr>
        <w:rFonts w:ascii="Cambria" w:hAnsi="Cambria"/>
        <w:color w:val="808080"/>
        <w:sz w:val="16"/>
        <w:szCs w:val="16"/>
        <w:lang w:val="es-ES_tradnl"/>
      </w:rPr>
      <w:t xml:space="preserve"> </w:t>
    </w:r>
    <w:proofErr w:type="spellStart"/>
    <w:r>
      <w:rPr>
        <w:rFonts w:ascii="Cambria" w:hAnsi="Cambria"/>
        <w:color w:val="808080"/>
        <w:sz w:val="16"/>
        <w:szCs w:val="16"/>
        <w:lang w:val="es-ES_tradnl"/>
      </w:rPr>
      <w:t>publication</w:t>
    </w:r>
    <w:proofErr w:type="spellEnd"/>
    <w:r>
      <w:rPr>
        <w:rFonts w:ascii="Cambria" w:hAnsi="Cambria"/>
        <w:color w:val="808080"/>
        <w:sz w:val="16"/>
        <w:szCs w:val="16"/>
        <w:lang w:val="es-ES_tradnl"/>
      </w:rPr>
      <w:t xml:space="preserve">; 2026, Vol. 22, </w:t>
    </w:r>
    <w:r>
      <w:rPr>
        <w:rFonts w:ascii="Cambria" w:hAnsi="Cambria"/>
        <w:b/>
        <w:bCs/>
        <w:color w:val="808080"/>
        <w:sz w:val="16"/>
        <w:szCs w:val="16"/>
        <w:lang w:val="es-US"/>
      </w:rPr>
      <w:t>e686</w:t>
    </w:r>
  </w:p>
  <w:p w:rsidR="008B4D7C" w:rsidRDefault="00D829E8">
    <w:pPr>
      <w:pStyle w:val="Encabezado"/>
      <w:rPr>
        <w:color w:val="000000"/>
        <w:lang w:val="es-ES"/>
      </w:rPr>
    </w:pPr>
    <w:r>
      <w:rPr>
        <w:color w:val="000000"/>
        <w:lang w:val="es-ES_tradnl"/>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D7C" w:rsidRPr="00394907" w:rsidRDefault="00D829E8">
    <w:pPr>
      <w:pStyle w:val="Encabezado"/>
      <w:jc w:val="right"/>
      <w:rPr>
        <w:rFonts w:ascii="Cambria" w:eastAsia="Arial" w:hAnsi="Cambria" w:cs="Arial"/>
        <w:bCs/>
        <w:color w:val="000000"/>
        <w:spacing w:val="-1"/>
        <w:sz w:val="16"/>
        <w:szCs w:val="16"/>
      </w:rPr>
    </w:pPr>
    <w:r w:rsidRPr="00394907">
      <w:rPr>
        <w:rFonts w:ascii="Cambria" w:eastAsia="Arial" w:hAnsi="Cambria" w:cs="Arial"/>
        <w:bCs/>
        <w:color w:val="000000"/>
        <w:spacing w:val="-1"/>
        <w:sz w:val="16"/>
        <w:szCs w:val="16"/>
      </w:rPr>
      <w:t xml:space="preserve">Smart Diagnostics in the Management of </w:t>
    </w:r>
    <w:proofErr w:type="spellStart"/>
    <w:r w:rsidRPr="00394907">
      <w:rPr>
        <w:rFonts w:ascii="Cambria" w:eastAsia="Arial" w:hAnsi="Cambria" w:cs="Arial"/>
        <w:bCs/>
        <w:color w:val="000000"/>
        <w:spacing w:val="-1"/>
        <w:sz w:val="16"/>
        <w:szCs w:val="16"/>
      </w:rPr>
      <w:t>Interinstitutional</w:t>
    </w:r>
    <w:proofErr w:type="spellEnd"/>
    <w:r w:rsidRPr="00394907">
      <w:rPr>
        <w:rFonts w:ascii="Cambria" w:eastAsia="Arial" w:hAnsi="Cambria" w:cs="Arial"/>
        <w:bCs/>
        <w:color w:val="000000"/>
        <w:spacing w:val="-1"/>
        <w:sz w:val="16"/>
        <w:szCs w:val="16"/>
      </w:rPr>
      <w:t xml:space="preserve"> Agreements for University Educational Quality</w:t>
    </w:r>
  </w:p>
  <w:p w:rsidR="008B4D7C" w:rsidRDefault="00D829E8">
    <w:pPr>
      <w:pStyle w:val="Encabezado"/>
      <w:jc w:val="right"/>
      <w:rPr>
        <w:rFonts w:ascii="Cambria" w:hAnsi="Cambria"/>
        <w:b/>
        <w:bCs/>
        <w:color w:val="808080"/>
        <w:sz w:val="16"/>
        <w:szCs w:val="16"/>
        <w:lang w:val="es-US"/>
      </w:rPr>
    </w:pPr>
    <w:r>
      <w:rPr>
        <w:rFonts w:ascii="Cambria" w:hAnsi="Cambria"/>
        <w:i/>
        <w:color w:val="808080"/>
        <w:sz w:val="16"/>
        <w:szCs w:val="16"/>
        <w:lang w:val="es-ES_tradnl"/>
      </w:rPr>
      <w:t>Transformación</w:t>
    </w:r>
    <w:r>
      <w:rPr>
        <w:rFonts w:ascii="Cambria" w:hAnsi="Cambria"/>
        <w:color w:val="808080"/>
        <w:sz w:val="16"/>
        <w:szCs w:val="16"/>
        <w:lang w:val="es-ES_tradnl"/>
      </w:rPr>
      <w:t xml:space="preserve">, ISSN: 2077-2955, RNPS: 2098. </w:t>
    </w:r>
    <w:proofErr w:type="spellStart"/>
    <w:r>
      <w:rPr>
        <w:rFonts w:ascii="Cambria" w:hAnsi="Cambria"/>
        <w:color w:val="808080"/>
        <w:sz w:val="16"/>
        <w:szCs w:val="16"/>
        <w:lang w:val="es-ES_tradnl"/>
      </w:rPr>
      <w:t>Continuous</w:t>
    </w:r>
    <w:proofErr w:type="spellEnd"/>
    <w:r>
      <w:rPr>
        <w:rFonts w:ascii="Cambria" w:hAnsi="Cambria"/>
        <w:color w:val="808080"/>
        <w:sz w:val="16"/>
        <w:szCs w:val="16"/>
        <w:lang w:val="es-ES_tradnl"/>
      </w:rPr>
      <w:t xml:space="preserve"> </w:t>
    </w:r>
    <w:proofErr w:type="spellStart"/>
    <w:r>
      <w:rPr>
        <w:rFonts w:ascii="Cambria" w:hAnsi="Cambria"/>
        <w:color w:val="808080"/>
        <w:sz w:val="16"/>
        <w:szCs w:val="16"/>
        <w:lang w:val="es-ES_tradnl"/>
      </w:rPr>
      <w:t>publication</w:t>
    </w:r>
    <w:proofErr w:type="spellEnd"/>
    <w:r>
      <w:rPr>
        <w:rFonts w:ascii="Cambria" w:hAnsi="Cambria"/>
        <w:color w:val="808080"/>
        <w:sz w:val="16"/>
        <w:szCs w:val="16"/>
        <w:lang w:val="es-ES_tradnl"/>
      </w:rPr>
      <w:t xml:space="preserve">; 2026, Vol. 22, </w:t>
    </w:r>
    <w:r>
      <w:rPr>
        <w:rFonts w:ascii="Cambria" w:hAnsi="Cambria"/>
        <w:b/>
        <w:bCs/>
        <w:color w:val="808080"/>
        <w:sz w:val="16"/>
        <w:szCs w:val="16"/>
        <w:lang w:val="es-US"/>
      </w:rPr>
      <w:t>e686</w:t>
    </w:r>
  </w:p>
  <w:p w:rsidR="008B4D7C" w:rsidRDefault="00D829E8">
    <w:pPr>
      <w:pStyle w:val="Encabezado"/>
      <w:jc w:val="right"/>
      <w:rPr>
        <w:sz w:val="0"/>
        <w:szCs w:val="0"/>
        <w:lang w:val="es-US"/>
      </w:rPr>
    </w:pPr>
    <w:r>
      <w:rPr>
        <w:color w:val="000000"/>
        <w:lang w:val="es-ES_tradnl"/>
      </w:rPr>
      <w:t>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aconcuadrcula"/>
      <w:tblW w:w="9351" w:type="dxa"/>
      <w:jc w:val="center"/>
      <w:tblBorders>
        <w:top w:val="none" w:sz="0"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02"/>
      <w:gridCol w:w="5320"/>
      <w:gridCol w:w="2329"/>
    </w:tblGrid>
    <w:tr w:rsidR="008B4D7C">
      <w:trPr>
        <w:jc w:val="center"/>
      </w:trPr>
      <w:tc>
        <w:tcPr>
          <w:tcW w:w="1702" w:type="dxa"/>
          <w:vAlign w:val="center"/>
        </w:tcPr>
        <w:p w:rsidR="008B4D7C" w:rsidRDefault="00D829E8">
          <w:pPr>
            <w:spacing w:after="0" w:line="240" w:lineRule="auto"/>
            <w:jc w:val="right"/>
            <w:rPr>
              <w:rFonts w:ascii="Cambria" w:hAnsi="Cambria"/>
              <w:b/>
              <w:color w:val="1F4E79"/>
              <w:sz w:val="18"/>
              <w:szCs w:val="18"/>
              <w:lang w:val="es-ES"/>
            </w:rPr>
          </w:pPr>
          <w:r>
            <w:rPr>
              <w:rFonts w:ascii="Cambria" w:hAnsi="Cambria"/>
              <w:noProof/>
              <w:sz w:val="18"/>
              <w:szCs w:val="18"/>
              <w:lang w:val="es-ES" w:eastAsia="es-ES"/>
            </w:rPr>
            <w:drawing>
              <wp:anchor distT="0" distB="0" distL="0" distR="0" simplePos="0" relativeHeight="5" behindDoc="0" locked="0" layoutInCell="1" allowOverlap="1">
                <wp:simplePos x="0" y="0"/>
                <wp:positionH relativeFrom="column">
                  <wp:posOffset>69850</wp:posOffset>
                </wp:positionH>
                <wp:positionV relativeFrom="paragraph">
                  <wp:posOffset>-54610</wp:posOffset>
                </wp:positionV>
                <wp:extent cx="381000" cy="514350"/>
                <wp:effectExtent l="0" t="0" r="0" b="0"/>
                <wp:wrapNone/>
                <wp:docPr id="4099" name="Picture 32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Picture 3276"/>
                        <pic:cNvPicPr/>
                      </pic:nvPicPr>
                      <pic:blipFill>
                        <a:blip r:embed="rId1" cstate="print"/>
                        <a:srcRect/>
                        <a:stretch/>
                      </pic:blipFill>
                      <pic:spPr>
                        <a:xfrm>
                          <a:off x="0" y="0"/>
                          <a:ext cx="381000" cy="514350"/>
                        </a:xfrm>
                        <a:prstGeom prst="rect">
                          <a:avLst/>
                        </a:prstGeom>
                      </pic:spPr>
                    </pic:pic>
                  </a:graphicData>
                </a:graphic>
                <wp14:sizeRelH relativeFrom="margin">
                  <wp14:pctWidth>0</wp14:pctWidth>
                </wp14:sizeRelH>
                <wp14:sizeRelV relativeFrom="margin">
                  <wp14:pctHeight>0</wp14:pctHeight>
                </wp14:sizeRelV>
              </wp:anchor>
            </w:drawing>
          </w:r>
          <w:proofErr w:type="spellStart"/>
          <w:r>
            <w:rPr>
              <w:rFonts w:ascii="Cambria" w:hAnsi="Cambria"/>
              <w:b/>
              <w:color w:val="1F4E79"/>
              <w:sz w:val="18"/>
              <w:szCs w:val="18"/>
              <w:lang w:val="es-ES"/>
            </w:rPr>
            <w:t>Scientific</w:t>
          </w:r>
          <w:proofErr w:type="spellEnd"/>
        </w:p>
        <w:p w:rsidR="008B4D7C" w:rsidRDefault="00D829E8">
          <w:pPr>
            <w:spacing w:after="0" w:line="240" w:lineRule="auto"/>
            <w:ind w:left="601"/>
            <w:jc w:val="right"/>
            <w:rPr>
              <w:rFonts w:ascii="Cambria" w:hAnsi="Cambria"/>
              <w:b/>
              <w:color w:val="1F4E79"/>
              <w:sz w:val="18"/>
              <w:szCs w:val="18"/>
              <w:lang w:val="es-ES"/>
            </w:rPr>
          </w:pPr>
          <w:proofErr w:type="spellStart"/>
          <w:r>
            <w:rPr>
              <w:rFonts w:ascii="Cambria" w:hAnsi="Cambria"/>
              <w:b/>
              <w:color w:val="1F4E79"/>
              <w:sz w:val="16"/>
              <w:szCs w:val="16"/>
              <w:lang w:val="es-ES"/>
            </w:rPr>
            <w:t>pedagogical</w:t>
          </w:r>
          <w:proofErr w:type="spellEnd"/>
        </w:p>
        <w:p w:rsidR="008B4D7C" w:rsidRDefault="00D829E8">
          <w:pPr>
            <w:pStyle w:val="Encabezado"/>
            <w:tabs>
              <w:tab w:val="left" w:pos="330"/>
            </w:tabs>
            <w:jc w:val="right"/>
            <w:rPr>
              <w:rFonts w:ascii="Cambria" w:hAnsi="Cambria"/>
              <w:lang w:val="es-ES_tradnl"/>
            </w:rPr>
          </w:pPr>
          <w:proofErr w:type="spellStart"/>
          <w:r>
            <w:rPr>
              <w:rFonts w:ascii="Cambria" w:hAnsi="Cambria"/>
              <w:b/>
              <w:color w:val="1F4E79"/>
              <w:sz w:val="18"/>
              <w:szCs w:val="18"/>
              <w:lang w:val="es-ES"/>
            </w:rPr>
            <w:t>journal</w:t>
          </w:r>
          <w:proofErr w:type="spellEnd"/>
        </w:p>
      </w:tc>
      <w:tc>
        <w:tcPr>
          <w:tcW w:w="5321" w:type="dxa"/>
        </w:tcPr>
        <w:p w:rsidR="008B4D7C" w:rsidRDefault="00D829E8">
          <w:pPr>
            <w:spacing w:after="0" w:line="240" w:lineRule="auto"/>
            <w:jc w:val="center"/>
            <w:rPr>
              <w:rFonts w:ascii="Cambria" w:hAnsi="Cambria"/>
              <w:i/>
              <w:sz w:val="40"/>
              <w:szCs w:val="40"/>
              <w:lang w:val="es-ES_tradnl"/>
            </w:rPr>
          </w:pPr>
          <w:r>
            <w:rPr>
              <w:rFonts w:ascii="Cambria" w:eastAsia="Gill Sans MT" w:hAnsi="Cambria" w:cs="Gill Sans MT"/>
              <w:b/>
              <w:bCs/>
              <w:i/>
              <w:color w:val="1F4E79"/>
              <w:sz w:val="40"/>
              <w:szCs w:val="40"/>
              <w:lang w:val="es-ES_tradnl"/>
            </w:rPr>
            <w:t>Transformación</w:t>
          </w:r>
        </w:p>
        <w:p w:rsidR="008B4D7C" w:rsidRDefault="00D829E8">
          <w:pPr>
            <w:pStyle w:val="Encabezado"/>
            <w:tabs>
              <w:tab w:val="left" w:pos="330"/>
            </w:tabs>
            <w:spacing w:after="60"/>
            <w:jc w:val="center"/>
            <w:rPr>
              <w:rFonts w:ascii="Cambria" w:hAnsi="Cambria"/>
              <w:lang w:val="es-ES_tradnl"/>
            </w:rPr>
          </w:pPr>
          <w:r>
            <w:rPr>
              <w:rFonts w:ascii="Cambria" w:hAnsi="Cambria"/>
              <w:sz w:val="20"/>
              <w:szCs w:val="20"/>
              <w:lang w:val="es-ES_tradnl"/>
            </w:rPr>
            <w:t>ISSN: 2077-2955, RNPS: 2098</w:t>
          </w:r>
        </w:p>
      </w:tc>
      <w:tc>
        <w:tcPr>
          <w:tcW w:w="2329" w:type="dxa"/>
        </w:tcPr>
        <w:p w:rsidR="008B4D7C" w:rsidRDefault="00D829E8">
          <w:pPr>
            <w:spacing w:after="0" w:line="240" w:lineRule="auto"/>
            <w:jc w:val="right"/>
            <w:rPr>
              <w:rFonts w:ascii="Cambria" w:hAnsi="Cambria"/>
              <w:sz w:val="20"/>
              <w:szCs w:val="20"/>
              <w:lang w:val="es-ES_tradnl"/>
            </w:rPr>
          </w:pPr>
          <w:proofErr w:type="spellStart"/>
          <w:r>
            <w:rPr>
              <w:rFonts w:ascii="Cambria" w:hAnsi="Cambria"/>
              <w:sz w:val="20"/>
              <w:szCs w:val="20"/>
              <w:lang w:val="es-ES_tradnl"/>
            </w:rPr>
            <w:t>Year</w:t>
          </w:r>
          <w:proofErr w:type="spellEnd"/>
          <w:r>
            <w:rPr>
              <w:rFonts w:ascii="Cambria" w:hAnsi="Cambria"/>
              <w:sz w:val="20"/>
              <w:szCs w:val="20"/>
              <w:lang w:val="es-ES_tradnl"/>
            </w:rPr>
            <w:t xml:space="preserve"> 2026</w:t>
          </w:r>
        </w:p>
        <w:p w:rsidR="008B4D7C" w:rsidRDefault="00D829E8">
          <w:pPr>
            <w:spacing w:after="0" w:line="240" w:lineRule="auto"/>
            <w:jc w:val="right"/>
            <w:rPr>
              <w:rFonts w:ascii="Cambria" w:hAnsi="Cambria"/>
              <w:sz w:val="20"/>
              <w:szCs w:val="20"/>
              <w:lang w:val="es-ES_tradnl"/>
            </w:rPr>
          </w:pPr>
          <w:r>
            <w:rPr>
              <w:rFonts w:ascii="Cambria" w:hAnsi="Cambria"/>
              <w:sz w:val="20"/>
              <w:szCs w:val="20"/>
              <w:lang w:val="es-ES_tradnl"/>
            </w:rPr>
            <w:t>Vol. 22, e686</w:t>
          </w:r>
        </w:p>
        <w:p w:rsidR="008B4D7C" w:rsidRDefault="00D829E8">
          <w:pPr>
            <w:pStyle w:val="Encabezado"/>
            <w:tabs>
              <w:tab w:val="left" w:pos="330"/>
            </w:tabs>
            <w:jc w:val="right"/>
            <w:rPr>
              <w:rFonts w:ascii="Cambria" w:hAnsi="Cambria"/>
              <w:lang w:val="es-ES_tradnl"/>
            </w:rPr>
          </w:pPr>
          <w:proofErr w:type="spellStart"/>
          <w:r>
            <w:rPr>
              <w:rFonts w:ascii="Cambria" w:hAnsi="Cambria"/>
              <w:sz w:val="20"/>
              <w:szCs w:val="20"/>
              <w:lang w:val="es-ES_tradnl"/>
            </w:rPr>
            <w:t>Continuous</w:t>
          </w:r>
          <w:proofErr w:type="spellEnd"/>
          <w:r>
            <w:rPr>
              <w:rFonts w:ascii="Cambria" w:hAnsi="Cambria"/>
              <w:sz w:val="20"/>
              <w:szCs w:val="20"/>
              <w:lang w:val="es-ES_tradnl"/>
            </w:rPr>
            <w:t xml:space="preserve"> </w:t>
          </w:r>
          <w:proofErr w:type="spellStart"/>
          <w:r>
            <w:rPr>
              <w:rFonts w:ascii="Cambria" w:hAnsi="Cambria"/>
              <w:sz w:val="20"/>
              <w:szCs w:val="20"/>
              <w:lang w:val="es-ES_tradnl"/>
            </w:rPr>
            <w:t>publication</w:t>
          </w:r>
          <w:proofErr w:type="spellEnd"/>
        </w:p>
      </w:tc>
    </w:tr>
  </w:tbl>
  <w:p w:rsidR="008B4D7C" w:rsidRDefault="008B4D7C">
    <w:pPr>
      <w:pStyle w:val="Encabezado"/>
      <w:rPr>
        <w:sz w:val="16"/>
        <w:szCs w:val="16"/>
        <w:lang w:val="es-U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multiLevelType w:val="hybridMultilevel"/>
    <w:tmpl w:val="A46A2570"/>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0000001"/>
    <w:multiLevelType w:val="multilevel"/>
    <w:tmpl w:val="4FB0901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2"/>
    <w:multiLevelType w:val="hybridMultilevel"/>
    <w:tmpl w:val="D2E06A1C"/>
    <w:lvl w:ilvl="0" w:tplc="1BD652B2">
      <w:start w:val="2"/>
      <w:numFmt w:val="bullet"/>
      <w:lvlText w:val="•"/>
      <w:lvlJc w:val="left"/>
      <w:pPr>
        <w:ind w:left="1185" w:hanging="825"/>
      </w:pPr>
      <w:rPr>
        <w:rFonts w:ascii="Calibri" w:eastAsia="Arial"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0000003"/>
    <w:multiLevelType w:val="hybridMultilevel"/>
    <w:tmpl w:val="A4CCA3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0000004"/>
    <w:multiLevelType w:val="hybridMultilevel"/>
    <w:tmpl w:val="A064C33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0000005"/>
    <w:multiLevelType w:val="hybridMultilevel"/>
    <w:tmpl w:val="D4962C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0000006"/>
    <w:multiLevelType w:val="hybridMultilevel"/>
    <w:tmpl w:val="1ECCCE8A"/>
    <w:lvl w:ilvl="0" w:tplc="71A2D19E">
      <w:start w:val="1"/>
      <w:numFmt w:val="bullet"/>
      <w:lvlText w:val="•"/>
      <w:lvlJc w:val="left"/>
      <w:pPr>
        <w:ind w:left="1080" w:hanging="72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00000007"/>
    <w:multiLevelType w:val="hybridMultilevel"/>
    <w:tmpl w:val="C436CB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00000008"/>
    <w:multiLevelType w:val="hybridMultilevel"/>
    <w:tmpl w:val="E2B6FF1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00000009"/>
    <w:multiLevelType w:val="hybridMultilevel"/>
    <w:tmpl w:val="D396DF2A"/>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0000000A"/>
    <w:multiLevelType w:val="hybridMultilevel"/>
    <w:tmpl w:val="88E2C3EE"/>
    <w:lvl w:ilvl="0" w:tplc="C6A0898E">
      <w:start w:val="1"/>
      <w:numFmt w:val="bullet"/>
      <w:lvlText w:val="•"/>
      <w:lvlJc w:val="left"/>
      <w:pPr>
        <w:ind w:left="720" w:hanging="360"/>
      </w:pPr>
      <w:rPr>
        <w:rFonts w:ascii="Times-Roman" w:eastAsia="Calibri" w:hAnsi="Times-Roman" w:cs="Times-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0B"/>
    <w:multiLevelType w:val="hybridMultilevel"/>
    <w:tmpl w:val="0DA2698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0000000C"/>
    <w:multiLevelType w:val="hybridMultilevel"/>
    <w:tmpl w:val="3FB21C8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0000000D"/>
    <w:multiLevelType w:val="hybridMultilevel"/>
    <w:tmpl w:val="935C9986"/>
    <w:lvl w:ilvl="0" w:tplc="1D9E81D8">
      <w:start w:val="1"/>
      <w:numFmt w:val="lowerLetter"/>
      <w:lvlText w:val="%1)"/>
      <w:lvlJc w:val="left"/>
      <w:pPr>
        <w:tabs>
          <w:tab w:val="left" w:pos="1200"/>
        </w:tabs>
        <w:ind w:left="1200" w:hanging="360"/>
      </w:pPr>
      <w:rPr>
        <w:rFonts w:hint="default"/>
      </w:rPr>
    </w:lvl>
    <w:lvl w:ilvl="1" w:tplc="A07C4C0E" w:tentative="1">
      <w:start w:val="1"/>
      <w:numFmt w:val="lowerLetter"/>
      <w:lvlText w:val="%2."/>
      <w:lvlJc w:val="left"/>
      <w:pPr>
        <w:tabs>
          <w:tab w:val="left" w:pos="1920"/>
        </w:tabs>
        <w:ind w:left="1920" w:hanging="360"/>
      </w:pPr>
    </w:lvl>
    <w:lvl w:ilvl="2" w:tplc="3E1E57E0" w:tentative="1">
      <w:start w:val="1"/>
      <w:numFmt w:val="lowerRoman"/>
      <w:lvlText w:val="%3."/>
      <w:lvlJc w:val="right"/>
      <w:pPr>
        <w:tabs>
          <w:tab w:val="left" w:pos="2640"/>
        </w:tabs>
        <w:ind w:left="2640" w:hanging="180"/>
      </w:pPr>
    </w:lvl>
    <w:lvl w:ilvl="3" w:tplc="8A987062" w:tentative="1">
      <w:start w:val="1"/>
      <w:numFmt w:val="decimal"/>
      <w:lvlText w:val="%4."/>
      <w:lvlJc w:val="left"/>
      <w:pPr>
        <w:tabs>
          <w:tab w:val="left" w:pos="3360"/>
        </w:tabs>
        <w:ind w:left="3360" w:hanging="360"/>
      </w:pPr>
    </w:lvl>
    <w:lvl w:ilvl="4" w:tplc="C026FCB6" w:tentative="1">
      <w:start w:val="1"/>
      <w:numFmt w:val="lowerLetter"/>
      <w:lvlText w:val="%5."/>
      <w:lvlJc w:val="left"/>
      <w:pPr>
        <w:tabs>
          <w:tab w:val="left" w:pos="4080"/>
        </w:tabs>
        <w:ind w:left="4080" w:hanging="360"/>
      </w:pPr>
    </w:lvl>
    <w:lvl w:ilvl="5" w:tplc="97DE9534" w:tentative="1">
      <w:start w:val="1"/>
      <w:numFmt w:val="lowerRoman"/>
      <w:lvlText w:val="%6."/>
      <w:lvlJc w:val="right"/>
      <w:pPr>
        <w:tabs>
          <w:tab w:val="left" w:pos="4800"/>
        </w:tabs>
        <w:ind w:left="4800" w:hanging="180"/>
      </w:pPr>
    </w:lvl>
    <w:lvl w:ilvl="6" w:tplc="99A602A4" w:tentative="1">
      <w:start w:val="1"/>
      <w:numFmt w:val="decimal"/>
      <w:lvlText w:val="%7."/>
      <w:lvlJc w:val="left"/>
      <w:pPr>
        <w:tabs>
          <w:tab w:val="left" w:pos="5520"/>
        </w:tabs>
        <w:ind w:left="5520" w:hanging="360"/>
      </w:pPr>
    </w:lvl>
    <w:lvl w:ilvl="7" w:tplc="B7EECC9C" w:tentative="1">
      <w:start w:val="1"/>
      <w:numFmt w:val="lowerLetter"/>
      <w:lvlText w:val="%8."/>
      <w:lvlJc w:val="left"/>
      <w:pPr>
        <w:tabs>
          <w:tab w:val="left" w:pos="6240"/>
        </w:tabs>
        <w:ind w:left="6240" w:hanging="360"/>
      </w:pPr>
    </w:lvl>
    <w:lvl w:ilvl="8" w:tplc="381CFA42" w:tentative="1">
      <w:start w:val="1"/>
      <w:numFmt w:val="lowerRoman"/>
      <w:lvlText w:val="%9."/>
      <w:lvlJc w:val="right"/>
      <w:pPr>
        <w:tabs>
          <w:tab w:val="left" w:pos="6960"/>
        </w:tabs>
        <w:ind w:left="6960" w:hanging="180"/>
      </w:pPr>
    </w:lvl>
  </w:abstractNum>
  <w:abstractNum w:abstractNumId="14" w15:restartNumberingAfterBreak="0">
    <w:nsid w:val="0000000E"/>
    <w:multiLevelType w:val="hybridMultilevel"/>
    <w:tmpl w:val="0824C8F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0000000F"/>
    <w:multiLevelType w:val="hybridMultilevel"/>
    <w:tmpl w:val="529E0D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0000010"/>
    <w:multiLevelType w:val="hybridMultilevel"/>
    <w:tmpl w:val="965E082A"/>
    <w:lvl w:ilvl="0" w:tplc="0C0A0001">
      <w:start w:val="1"/>
      <w:numFmt w:val="bullet"/>
      <w:lvlText w:val=""/>
      <w:lvlJc w:val="left"/>
      <w:pPr>
        <w:ind w:left="720" w:hanging="360"/>
      </w:pPr>
      <w:rPr>
        <w:rFonts w:ascii="Symbol" w:hAnsi="Symbol" w:hint="default"/>
      </w:rPr>
    </w:lvl>
    <w:lvl w:ilvl="1" w:tplc="854ACBC0">
      <w:start w:val="1"/>
      <w:numFmt w:val="bullet"/>
      <w:lvlText w:val="•"/>
      <w:lvlJc w:val="left"/>
      <w:pPr>
        <w:ind w:left="1905" w:hanging="825"/>
      </w:pPr>
      <w:rPr>
        <w:rFonts w:ascii="Calibri" w:eastAsia="Times New Roman" w:hAnsi="Calibri" w:cs="Times New Roman" w:hint="default"/>
        <w:w w:val="131"/>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16"/>
  </w:num>
  <w:num w:numId="4">
    <w:abstractNumId w:val="3"/>
  </w:num>
  <w:num w:numId="5">
    <w:abstractNumId w:val="7"/>
  </w:num>
  <w:num w:numId="6">
    <w:abstractNumId w:val="9"/>
  </w:num>
  <w:num w:numId="7">
    <w:abstractNumId w:val="8"/>
  </w:num>
  <w:num w:numId="8">
    <w:abstractNumId w:val="12"/>
  </w:num>
  <w:num w:numId="9">
    <w:abstractNumId w:val="5"/>
  </w:num>
  <w:num w:numId="10">
    <w:abstractNumId w:val="2"/>
  </w:num>
  <w:num w:numId="11">
    <w:abstractNumId w:val="13"/>
  </w:num>
  <w:num w:numId="12">
    <w:abstractNumId w:val="15"/>
  </w:num>
  <w:num w:numId="13">
    <w:abstractNumId w:val="10"/>
  </w:num>
  <w:num w:numId="14">
    <w:abstractNumId w:val="11"/>
  </w:num>
  <w:num w:numId="15">
    <w:abstractNumId w:val="14"/>
  </w:num>
  <w:num w:numId="16">
    <w:abstractNumId w:val="1"/>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4D7C"/>
    <w:rsid w:val="00394907"/>
    <w:rsid w:val="008B4D7C"/>
    <w:rsid w:val="00D829E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03F5C"/>
  <w15:docId w15:val="{D6F1AD0E-E51D-4DA1-AD2C-E694195D3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after="200" w:line="276" w:lineRule="auto"/>
    </w:pPr>
    <w:rPr>
      <w:sz w:val="22"/>
      <w:szCs w:val="22"/>
      <w:lang w:val="en-US" w:eastAsia="en-US"/>
    </w:rPr>
  </w:style>
  <w:style w:type="paragraph" w:styleId="Ttulo1">
    <w:name w:val="heading 1"/>
    <w:basedOn w:val="Normal"/>
    <w:next w:val="Normal"/>
    <w:link w:val="Ttulo1Car"/>
    <w:uiPriority w:val="9"/>
    <w:qFormat/>
    <w:pPr>
      <w:keepNext/>
      <w:keepLines/>
      <w:widowControl/>
      <w:spacing w:before="240" w:after="0" w:line="259" w:lineRule="auto"/>
      <w:outlineLvl w:val="0"/>
    </w:pPr>
    <w:rPr>
      <w:rFonts w:ascii="Calibri Light" w:eastAsia="SimSun" w:hAnsi="Calibri Light" w:cs="SimSun"/>
      <w:color w:val="2E74B5"/>
      <w:sz w:val="32"/>
      <w:szCs w:val="3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Bibliografa">
    <w:name w:val="Bibliography"/>
    <w:basedOn w:val="Normal"/>
    <w:next w:val="Normal"/>
    <w:uiPriority w:val="37"/>
  </w:style>
  <w:style w:type="character" w:styleId="Refdecomentario">
    <w:name w:val="annotation reference"/>
    <w:uiPriority w:val="99"/>
    <w:rPr>
      <w:sz w:val="16"/>
      <w:szCs w:val="16"/>
    </w:rPr>
  </w:style>
  <w:style w:type="paragraph" w:styleId="Textocomentario">
    <w:name w:val="annotation text"/>
    <w:basedOn w:val="Normal"/>
    <w:link w:val="TextocomentarioCar"/>
    <w:uiPriority w:val="99"/>
    <w:pPr>
      <w:spacing w:line="240" w:lineRule="auto"/>
    </w:pPr>
    <w:rPr>
      <w:sz w:val="20"/>
      <w:szCs w:val="20"/>
    </w:rPr>
  </w:style>
  <w:style w:type="character" w:customStyle="1" w:styleId="TextocomentarioCar">
    <w:name w:val="Texto comentario Car"/>
    <w:link w:val="Textocomentario"/>
    <w:uiPriority w:val="99"/>
    <w:rPr>
      <w:sz w:val="20"/>
      <w:szCs w:val="20"/>
    </w:rPr>
  </w:style>
  <w:style w:type="paragraph" w:styleId="Asuntodelcomentario">
    <w:name w:val="annotation subject"/>
    <w:basedOn w:val="Textocomentario"/>
    <w:next w:val="Textocomentario"/>
    <w:link w:val="AsuntodelcomentarioCar"/>
    <w:uiPriority w:val="99"/>
    <w:rPr>
      <w:b/>
      <w:bCs/>
    </w:rPr>
  </w:style>
  <w:style w:type="character" w:customStyle="1" w:styleId="AsuntodelcomentarioCar">
    <w:name w:val="Asunto del comentario Car"/>
    <w:link w:val="Asuntodelcomentario"/>
    <w:uiPriority w:val="99"/>
    <w:rPr>
      <w:b/>
      <w:bCs/>
      <w:sz w:val="20"/>
      <w:szCs w:val="20"/>
    </w:rPr>
  </w:style>
  <w:style w:type="paragraph" w:styleId="Textodeglobo">
    <w:name w:val="Balloon Text"/>
    <w:basedOn w:val="Normal"/>
    <w:link w:val="TextodegloboCar"/>
    <w:uiPriority w:val="99"/>
    <w:pPr>
      <w:spacing w:after="0" w:line="240" w:lineRule="auto"/>
    </w:pPr>
    <w:rPr>
      <w:rFonts w:ascii="Segoe UI" w:hAnsi="Segoe UI"/>
      <w:sz w:val="18"/>
      <w:szCs w:val="18"/>
    </w:rPr>
  </w:style>
  <w:style w:type="character" w:customStyle="1" w:styleId="TextodegloboCar">
    <w:name w:val="Texto de globo Car"/>
    <w:link w:val="Textodeglobo"/>
    <w:uiPriority w:val="99"/>
    <w:rPr>
      <w:rFonts w:ascii="Segoe UI" w:hAnsi="Segoe UI" w:cs="Segoe UI"/>
      <w:sz w:val="18"/>
      <w:szCs w:val="18"/>
    </w:rPr>
  </w:style>
  <w:style w:type="paragraph" w:styleId="Encabezado">
    <w:name w:val="header"/>
    <w:basedOn w:val="Normal"/>
    <w:link w:val="EncabezadoCar"/>
    <w:uiPriority w:val="99"/>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Prrafodelista">
    <w:name w:val="List Paragraph"/>
    <w:basedOn w:val="Normal"/>
    <w:uiPriority w:val="34"/>
    <w:qFormat/>
    <w:pPr>
      <w:ind w:left="720"/>
      <w:contextualSpacing/>
    </w:pPr>
  </w:style>
  <w:style w:type="paragraph" w:styleId="NormalWeb">
    <w:name w:val="Normal (Web)"/>
    <w:basedOn w:val="Normal"/>
    <w:pPr>
      <w:widowControl/>
      <w:spacing w:before="100" w:beforeAutospacing="1" w:after="100" w:afterAutospacing="1" w:line="240" w:lineRule="auto"/>
    </w:pPr>
    <w:rPr>
      <w:rFonts w:ascii="Arial" w:eastAsia="Times New Roman" w:hAnsi="Arial" w:cs="Arial"/>
      <w:sz w:val="24"/>
      <w:szCs w:val="24"/>
      <w:lang w:val="es-ES" w:eastAsia="es-ES"/>
    </w:rPr>
  </w:style>
  <w:style w:type="character" w:styleId="Hipervnculo">
    <w:name w:val="Hyperlink"/>
    <w:uiPriority w:val="99"/>
    <w:rPr>
      <w:color w:val="0563C1"/>
      <w:u w:val="single"/>
    </w:rPr>
  </w:style>
  <w:style w:type="character" w:customStyle="1" w:styleId="Ttulo1Car">
    <w:name w:val="Título 1 Car"/>
    <w:basedOn w:val="Fuentedeprrafopredeter"/>
    <w:link w:val="Ttulo1"/>
    <w:uiPriority w:val="9"/>
    <w:rPr>
      <w:rFonts w:ascii="Calibri Light" w:eastAsia="SimSun" w:hAnsi="Calibri Light" w:cs="SimSun"/>
      <w:color w:val="2E74B5"/>
      <w:sz w:val="32"/>
      <w:szCs w:val="32"/>
    </w:rPr>
  </w:style>
  <w:style w:type="character" w:styleId="Hipervnculovisitado">
    <w:name w:val="FollowedHyperlink"/>
    <w:basedOn w:val="Fuentedeprrafopredeter"/>
    <w:uiPriority w:val="99"/>
    <w:rPr>
      <w:color w:val="954F72"/>
      <w:u w:val="single"/>
    </w:rPr>
  </w:style>
  <w:style w:type="character" w:customStyle="1" w:styleId="Mencinsinresolver1">
    <w:name w:val="Mención sin resolver1"/>
    <w:basedOn w:val="Fuentedeprrafopredeter"/>
    <w:uiPriority w:val="99"/>
    <w:rPr>
      <w:color w:val="605E5C"/>
      <w:shd w:val="clear" w:color="auto" w:fill="E1DFDD"/>
    </w:rPr>
  </w:style>
  <w:style w:type="table" w:styleId="Tablaconcuadrcula">
    <w:name w:val="Table Grid"/>
    <w:basedOn w:val="Tablanormal"/>
    <w:uiPriority w:val="39"/>
    <w:rPr>
      <w:rFonts w:cs="SimSu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2">
    <w:name w:val="Mención sin resolver2"/>
    <w:basedOn w:val="Fuentedeprrafopredeter"/>
    <w:uiPriority w:val="99"/>
    <w:rPr>
      <w:color w:val="605E5C"/>
      <w:shd w:val="clear" w:color="auto" w:fill="E1DFDD"/>
    </w:rPr>
  </w:style>
  <w:style w:type="character" w:styleId="nfasis">
    <w:name w:val="Emphasis"/>
    <w:basedOn w:val="Fuentedeprrafopredeter"/>
    <w:uiPriority w:val="20"/>
    <w:qFormat/>
    <w:rPr>
      <w:i/>
      <w:iCs/>
    </w:rPr>
  </w:style>
  <w:style w:type="paragraph" w:styleId="Revisin">
    <w:name w:val="Revision"/>
    <w:uiPriority w:val="99"/>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hyperlink" Target="https://doi.org/10.1287/orsc.1100.0641" TargetMode="External"/><Relationship Id="rId18" Type="http://schemas.openxmlformats.org/officeDocument/2006/relationships/hyperlink" Target="https://doi.org/10.5465/amr.1989.4279003" TargetMode="External"/><Relationship Id="rId26" Type="http://schemas.openxmlformats.org/officeDocument/2006/relationships/hyperlink" Target="https://doi.org/10.1108/00251741111109133" TargetMode="External"/><Relationship Id="rId39" Type="http://schemas.openxmlformats.org/officeDocument/2006/relationships/hyperlink" Target="https://doi.org/10.1007/s11024-012-9215-5" TargetMode="External"/><Relationship Id="rId21" Type="http://schemas.openxmlformats.org/officeDocument/2006/relationships/hyperlink" Target="https://revistaccuba.sld.cu/index.php/revacc/article/view/1662" TargetMode="External"/><Relationship Id="rId34" Type="http://schemas.openxmlformats.org/officeDocument/2006/relationships/hyperlink" Target="https://doi.org/10.5130/IJCRE.V4I0.1773" TargetMode="External"/><Relationship Id="rId42" Type="http://schemas.openxmlformats.org/officeDocument/2006/relationships/image" Target="media/image10.jpe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curia.europa.eu/" TargetMode="External"/><Relationship Id="rId29" Type="http://schemas.openxmlformats.org/officeDocument/2006/relationships/hyperlink" Target="https://doi.org/10.29105/mdi.v7i10.227" TargetMode="External"/><Relationship Id="rId11" Type="http://schemas.openxmlformats.org/officeDocument/2006/relationships/hyperlink" Target="https://doi.org/10.4013/EDU.2013.173.01" TargetMode="External"/><Relationship Id="rId24" Type="http://schemas.openxmlformats.org/officeDocument/2006/relationships/hyperlink" Target="https://doi.org/10.53832/be2.0001" TargetMode="External"/><Relationship Id="rId32" Type="http://schemas.openxmlformats.org/officeDocument/2006/relationships/hyperlink" Target="https://doi.org/10.1590/S0103-65132012005000076" TargetMode="External"/><Relationship Id="rId37" Type="http://schemas.openxmlformats.org/officeDocument/2006/relationships/hyperlink" Target="https://unesdoc.unesco.org/ark:/48223/pf0000376709" TargetMode="External"/><Relationship Id="rId40" Type="http://schemas.openxmlformats.org/officeDocument/2006/relationships/image" Target="media/image1.jpe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8041/1900-3803/entramado.1.9673" TargetMode="External"/><Relationship Id="rId23" Type="http://schemas.openxmlformats.org/officeDocument/2006/relationships/hyperlink" Target="https://www.journalsuchicago.edu/doi/10.1086/225469" TargetMode="External"/><Relationship Id="rId28" Type="http://schemas.openxmlformats.org/officeDocument/2006/relationships/hyperlink" Target="https://doi.org/10.55717/NRHV8567" TargetMode="External"/><Relationship Id="rId36" Type="http://schemas.openxmlformats.org/officeDocument/2006/relationships/hyperlink" Target="https://doi.org/10.17323/1814-9545-2018-1-132-153" TargetMode="External"/><Relationship Id="rId49" Type="http://schemas.openxmlformats.org/officeDocument/2006/relationships/header" Target="header3.xml"/><Relationship Id="rId10" Type="http://schemas.openxmlformats.org/officeDocument/2006/relationships/hyperlink" Target="https://revista.redipe.org/index.php/1/article/view/697" TargetMode="External"/><Relationship Id="rId19" Type="http://schemas.openxmlformats.org/officeDocument/2006/relationships/hyperlink" Target="https://doi.org/10.47808/revistabioagro.v12i1.538" TargetMode="External"/><Relationship Id="rId31" Type="http://schemas.openxmlformats.org/officeDocument/2006/relationships/hyperlink" Target="https://doi.org/10.7179/PSRI_2025.47.00" TargetMode="External"/><Relationship Id="rId44" Type="http://schemas.openxmlformats.org/officeDocument/2006/relationships/hyperlink" Target="https://creativecomons.org/licenses/by-nc/4.0/deed.es_ES"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lb.dilenia@gmail.com" TargetMode="External"/><Relationship Id="rId14" Type="http://schemas.openxmlformats.org/officeDocument/2006/relationships/hyperlink" Target="https://doi.org/10.1007/s10734-019-0359-1" TargetMode="External"/><Relationship Id="rId22" Type="http://schemas.openxmlformats.org/officeDocument/2006/relationships/hyperlink" Target="https://rctd.uic.cu/rctd/article/view/229" TargetMode="External"/><Relationship Id="rId27" Type="http://schemas.openxmlformats.org/officeDocument/2006/relationships/hyperlink" Target="https://doi.org/10.24215/27186539e028" TargetMode="External"/><Relationship Id="rId30" Type="http://schemas.openxmlformats.org/officeDocument/2006/relationships/hyperlink" Target="https://doi.org/10.21071/redd.vi15.16566" TargetMode="External"/><Relationship Id="rId35" Type="http://schemas.openxmlformats.org/officeDocument/2006/relationships/hyperlink" Target="https://doi.org/10.59993/simbiosis.V.5i9.75" TargetMode="External"/><Relationship Id="rId43" Type="http://schemas.openxmlformats.org/officeDocument/2006/relationships/image" Target="media/image20.jpeg"/><Relationship Id="rId48" Type="http://schemas.openxmlformats.org/officeDocument/2006/relationships/footer" Target="footer2.xml"/><Relationship Id="rId8" Type="http://schemas.openxmlformats.org/officeDocument/2006/relationships/hyperlink" Target="https://orcid.org/0009-0007-0051-0720"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doi.org/10.1162/qss_a_00229" TargetMode="External"/><Relationship Id="rId17" Type="http://schemas.openxmlformats.org/officeDocument/2006/relationships/hyperlink" Target="https://search.worldcat.org/es/title/1007384188" TargetMode="External"/><Relationship Id="rId25" Type="http://schemas.openxmlformats.org/officeDocument/2006/relationships/hyperlink" Target="https://doi.org/10.1080/0260293930180102" TargetMode="External"/><Relationship Id="rId33" Type="http://schemas.openxmlformats.org/officeDocument/2006/relationships/hyperlink" Target="https://academic.oup.com/book/52097" TargetMode="External"/><Relationship Id="rId38" Type="http://schemas.openxmlformats.org/officeDocument/2006/relationships/hyperlink" Target="https://academic.oup.com/book/52097" TargetMode="External"/><Relationship Id="rId46" Type="http://schemas.openxmlformats.org/officeDocument/2006/relationships/header" Target="header2.xml"/><Relationship Id="rId20" Type="http://schemas.openxmlformats.org/officeDocument/2006/relationships/hyperlink" Target="https://eur-lex.europa.eu/legal-content/EN/TXT/?uri=CELEX:52024PC0060" TargetMode="External"/><Relationship Id="rId41"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4672BF-ACE4-4962-BBC7-37C6451D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19</Pages>
  <Words>8876</Words>
  <Characters>48820</Characters>
  <Application>Microsoft Office Word</Application>
  <DocSecurity>0</DocSecurity>
  <Lines>406</Lines>
  <Paragraphs>115</Paragraphs>
  <ScaleCrop>false</ScaleCrop>
  <Company/>
  <LinksUpToDate>false</LinksUpToDate>
  <CharactersWithSpaces>57581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Memoria científica original</dc:subject>
  <dc:creator>pc</dc:creator>
  <cp:lastModifiedBy>MNML</cp:lastModifiedBy>
  <cp:revision>3</cp:revision>
  <cp:lastPrinted>2024-11-03T21:42:00Z</cp:lastPrinted>
  <dcterms:created xsi:type="dcterms:W3CDTF">2026-08-17T18:00:00Z</dcterms:created>
  <dcterms:modified xsi:type="dcterms:W3CDTF">2026-10-08T22:11:00Z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2017-05-25T00:00:00Z</vt:filetime>
  </property>
  <property fmtid="{D5CDD505-2E9C-101B-9397-08002B2CF9AE}" pid="3" name="LastSaved">
    <vt:filetime>2017-11-20T00:00:00Z</vt:filetime>
  </property>
  <property fmtid="{D5CDD505-2E9C-101B-9397-08002B2CF9AE}" pid="4" name="ICV">
    <vt:lpwstr>896ed6a6fa7b43a784bc8148b2888395_23</vt:lpwstr>
  </property>
</Properties>
</file>